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1D58E0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广东中山翠亨新区南网E站智能微电网改造方案</w:t>
      </w:r>
    </w:p>
    <w:p w14:paraId="7D91CD63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bookmarkStart w:id="0" w:name="heading_0"/>
      <w:r>
        <w:rPr>
          <w:rFonts w:hint="eastAsia" w:ascii="宋体" w:hAnsi="宋体" w:eastAsia="宋体" w:cs="宋体"/>
        </w:rPr>
        <w:t>一、项目概况</w:t>
      </w:r>
      <w:bookmarkEnd w:id="0"/>
    </w:p>
    <w:p w14:paraId="48A1D0AF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bookmarkStart w:id="1" w:name="heading_1"/>
      <w:r>
        <w:rPr>
          <w:rFonts w:hint="eastAsia" w:ascii="宋体" w:hAnsi="宋体" w:eastAsia="宋体" w:cs="宋体"/>
        </w:rPr>
        <w:t>1.1 项目背景</w:t>
      </w:r>
      <w:bookmarkEnd w:id="1"/>
    </w:p>
    <w:p w14:paraId="403A2D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当前，我国全面推进“双碳”战略与新型电力系统建设，重点推广源网荷储一体化、分布式能源自治、虚拟电厂应用场景。翠亨新区左步村南网E站是中山供电局重点打造的基层智慧能源示范节点，也是南方电网融入广东省“百千万工程”的重要实践项目。场站现已建成“风-光-储-变-网”一体化多元电源架构，装配光伏、小型风电、超充储能一体化设备及智能配电设施，具备多能互补运行基础，是打造区域首个能源自治型微电网的优质场景。</w:t>
      </w:r>
    </w:p>
    <w:p w14:paraId="7B487B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目前场站虽具备硬件基础，但整体运行仍依赖传统市电供能模式，存在并网/离网无法智能切换、无统一能量调度中枢、新能源就地消纳效率偏低，无法实现能源自主可控、智能协同运行，难以匹配微电网高效运行、新型电力系统落地及智慧能源示范的核心要求。</w:t>
      </w:r>
    </w:p>
    <w:p w14:paraId="72AA3A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若采用全站微网改造，改动范围大、投资高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本项目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计划在</w:t>
      </w:r>
      <w:r>
        <w:rPr>
          <w:rFonts w:hint="eastAsia" w:ascii="宋体" w:hAnsi="宋体" w:eastAsia="宋体" w:cs="宋体"/>
          <w:sz w:val="28"/>
          <w:szCs w:val="28"/>
        </w:rPr>
        <w:t>分支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侧</w:t>
      </w:r>
      <w:r>
        <w:rPr>
          <w:rFonts w:hint="eastAsia" w:ascii="宋体" w:hAnsi="宋体" w:eastAsia="宋体" w:cs="宋体"/>
          <w:sz w:val="28"/>
          <w:szCs w:val="28"/>
        </w:rPr>
        <w:t>构建微网，打造“源侧型轻量化分支微网”试点。</w:t>
      </w:r>
    </w:p>
    <w:p w14:paraId="5A121C1C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bookmarkStart w:id="2" w:name="heading_2"/>
      <w:r>
        <w:rPr>
          <w:rFonts w:hint="eastAsia" w:ascii="宋体" w:hAnsi="宋体" w:eastAsia="宋体" w:cs="宋体"/>
        </w:rPr>
        <w:t>1.2 项目改造范围</w:t>
      </w:r>
      <w:bookmarkEnd w:id="2"/>
    </w:p>
    <w:p w14:paraId="3D4169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Arial" w:hAnsi="Arial" w:eastAsia="宋体" w:cs="Arial"/>
          <w:sz w:val="22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现状光伏回路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和电力科普区动力箱</w:t>
      </w:r>
      <w:r>
        <w:rPr>
          <w:rFonts w:hint="eastAsia" w:ascii="宋体" w:hAnsi="宋体" w:eastAsia="宋体" w:cs="宋体"/>
          <w:sz w:val="28"/>
          <w:szCs w:val="28"/>
        </w:rPr>
        <w:t>直接并入站内低压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开关</w:t>
      </w:r>
      <w:r>
        <w:rPr>
          <w:rFonts w:hint="eastAsia" w:ascii="宋体" w:hAnsi="宋体" w:eastAsia="宋体" w:cs="宋体"/>
          <w:sz w:val="28"/>
          <w:szCs w:val="28"/>
        </w:rPr>
        <w:t>，共用分支回路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缺少分支独立的并离网切换、源侧能量调度、分支专属并网防护；光伏大发时段存在弃光、并网点电压波动。为控制改造范围，不改动站内主配电系统，仅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在站内更换2台低压出线开关为智能断路器，并将原光伏回路和电力科普区动力箱改入</w:t>
      </w:r>
      <w:r>
        <w:rPr>
          <w:rFonts w:hint="eastAsia" w:ascii="宋体" w:hAnsi="宋体" w:eastAsia="宋体" w:cs="宋体"/>
          <w:sz w:val="28"/>
          <w:szCs w:val="28"/>
        </w:rPr>
        <w:t>新增分支微网系统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2860F6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核心改造内容：新增微网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配电箱</w:t>
      </w:r>
      <w:r>
        <w:rPr>
          <w:rFonts w:hint="eastAsia" w:ascii="宋体" w:hAnsi="宋体" w:eastAsia="宋体" w:cs="宋体"/>
          <w:sz w:val="28"/>
          <w:szCs w:val="28"/>
        </w:rPr>
        <w:t>（内含STS静态转换开关）、新增50kW/110kWh一体化储能设备、分支微网中央控制系统；配套分支回路数据采集、通信、安全防护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等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2E2BEA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实现：①并网工况下对光伏、风机出力进行分支内部平抑、消纳富余新能源、参与虚拟电厂需求响应；②孤岛工况，保障分支接入的场站关键负荷不间断供电≥2h；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配电</w:t>
      </w:r>
      <w:r>
        <w:rPr>
          <w:rFonts w:hint="eastAsia" w:ascii="宋体" w:hAnsi="宋体" w:eastAsia="宋体" w:cs="宋体"/>
          <w:sz w:val="28"/>
          <w:szCs w:val="28"/>
        </w:rPr>
        <w:t>站内其余全部负荷不受本微网控制，持续由市电供电。</w:t>
      </w:r>
    </w:p>
    <w:p w14:paraId="7DE4D32D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bookmarkStart w:id="3" w:name="heading_3"/>
      <w:r>
        <w:rPr>
          <w:rFonts w:hint="eastAsia" w:ascii="宋体" w:hAnsi="宋体" w:eastAsia="宋体" w:cs="宋体"/>
        </w:rPr>
        <w:t>1.3 改造总体原则</w:t>
      </w:r>
      <w:bookmarkEnd w:id="3"/>
    </w:p>
    <w:p w14:paraId="774283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源侧优先，就地消纳：立足分支电源侧调节，最大化实现光伏、风机清洁能源就地消纳，分支回路清洁能源渗透率≥95%；储能主要承担功率平抑、电压支撑、富余电量存储以及应急负荷供电。</w:t>
      </w:r>
    </w:p>
    <w:p w14:paraId="641DD4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分支隔离，互不干扰：分支微网与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配电</w:t>
      </w:r>
      <w:r>
        <w:rPr>
          <w:rFonts w:hint="eastAsia" w:ascii="宋体" w:hAnsi="宋体" w:eastAsia="宋体" w:cs="宋体"/>
          <w:sz w:val="28"/>
          <w:szCs w:val="28"/>
        </w:rPr>
        <w:t>站内主配电电气硬隔离；孤岛模式仅服务分支负荷，不牵连站内其他用电。</w:t>
      </w:r>
    </w:p>
    <w:p w14:paraId="3A45F0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存量复用，轻量化示范：复用现有光伏、风机一次设备，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缩小</w:t>
      </w:r>
      <w:r>
        <w:rPr>
          <w:rFonts w:hint="eastAsia" w:ascii="宋体" w:hAnsi="宋体" w:eastAsia="宋体" w:cs="宋体"/>
          <w:sz w:val="28"/>
          <w:szCs w:val="28"/>
        </w:rPr>
        <w:t>主配电开关柜本体改造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范围</w:t>
      </w:r>
      <w:r>
        <w:rPr>
          <w:rFonts w:hint="eastAsia" w:ascii="宋体" w:hAnsi="宋体" w:eastAsia="宋体" w:cs="宋体"/>
          <w:sz w:val="28"/>
          <w:szCs w:val="28"/>
        </w:rPr>
        <w:t>；以示范功能、源侧调节功能为主，控制设备规模与投资。</w:t>
      </w:r>
    </w:p>
    <w:p w14:paraId="0E6771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安全合规，严防倒送：落实南网分布式电源及微网标准，配置机械+电气双重联锁，彻底杜绝孤岛工况向站内主母线倒送电风险。</w:t>
      </w:r>
    </w:p>
    <w:p w14:paraId="42B25D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平急结合，可扩可延：平时主要做新能源波动平抑、需求响应；故障停电时实现场站关键负荷应急保供；预留负荷扩展接口，后续可按需接入更多负荷。</w:t>
      </w:r>
    </w:p>
    <w:p w14:paraId="19818E1D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bookmarkStart w:id="4" w:name="heading_4"/>
      <w:r>
        <w:rPr>
          <w:rFonts w:hint="eastAsia" w:ascii="宋体" w:hAnsi="宋体" w:eastAsia="宋体" w:cs="宋体"/>
        </w:rPr>
        <w:t>二、现状分析与现存问题</w:t>
      </w:r>
      <w:bookmarkEnd w:id="4"/>
    </w:p>
    <w:p w14:paraId="2C443341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bookmarkStart w:id="5" w:name="heading_5"/>
      <w:r>
        <w:rPr>
          <w:rFonts w:hint="eastAsia" w:ascii="宋体" w:hAnsi="宋体" w:eastAsia="宋体" w:cs="宋体"/>
        </w:rPr>
        <w:t>2.1 现有建设基础</w:t>
      </w:r>
      <w:bookmarkEnd w:id="5"/>
    </w:p>
    <w:p w14:paraId="17F22A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本次改造场站硬件基础完善，已构建多能互补的电源体系，具体设备配置如下：一是外部市电系统，依托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翠亨</w:t>
      </w:r>
      <w:r>
        <w:rPr>
          <w:rFonts w:hint="eastAsia" w:ascii="宋体" w:hAnsi="宋体" w:eastAsia="宋体" w:cs="宋体"/>
          <w:sz w:val="28"/>
          <w:szCs w:val="28"/>
        </w:rPr>
        <w:t>南网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E</w:t>
      </w:r>
      <w:r>
        <w:rPr>
          <w:rFonts w:hint="eastAsia" w:ascii="宋体" w:hAnsi="宋体" w:eastAsia="宋体" w:cs="宋体"/>
          <w:sz w:val="28"/>
          <w:szCs w:val="28"/>
        </w:rPr>
        <w:t>站公用配电站作为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市电主供电源</w:t>
      </w:r>
      <w:r>
        <w:rPr>
          <w:rFonts w:hint="eastAsia" w:ascii="宋体" w:hAnsi="宋体" w:eastAsia="宋体" w:cs="宋体"/>
          <w:sz w:val="28"/>
          <w:szCs w:val="28"/>
        </w:rPr>
        <w:t>，配电基础稳固；二是清洁能源系统，装配3kW垂直轴风力发电机，结合车棚及建筑外立面布局50.805kWp光伏组件，形成风光互补发电体系。</w:t>
      </w:r>
    </w:p>
    <w:p w14:paraId="11117466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bookmarkStart w:id="6" w:name="heading_6"/>
      <w:r>
        <w:rPr>
          <w:rFonts w:hint="eastAsia" w:ascii="宋体" w:hAnsi="宋体" w:eastAsia="宋体" w:cs="宋体"/>
        </w:rPr>
        <w:t>2.2 现存核心问题</w:t>
      </w:r>
      <w:bookmarkEnd w:id="6"/>
    </w:p>
    <w:p w14:paraId="5FF0DE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sz w:val="28"/>
          <w:szCs w:val="28"/>
        </w:rPr>
        <w:t>无分支源侧隔离切换，缺少应急保供手段：光伏、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电力科普区负荷</w:t>
      </w:r>
      <w:r>
        <w:rPr>
          <w:rFonts w:hint="eastAsia" w:ascii="宋体" w:hAnsi="宋体" w:eastAsia="宋体" w:cs="宋体"/>
          <w:sz w:val="28"/>
          <w:szCs w:val="28"/>
        </w:rPr>
        <w:t>共用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配电站0.4kV</w:t>
      </w:r>
      <w:r>
        <w:rPr>
          <w:rFonts w:hint="eastAsia" w:ascii="宋体" w:hAnsi="宋体" w:eastAsia="宋体" w:cs="宋体"/>
          <w:sz w:val="28"/>
          <w:szCs w:val="28"/>
        </w:rPr>
        <w:t>4022 开关，无分支STS隔离切换装置；电网故障时，光伏分支无法独立形成孤岛，分支内关键场站负荷随之断电，同时存在倒送电安全隐患。</w:t>
      </w:r>
    </w:p>
    <w:p w14:paraId="432C51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sz w:val="28"/>
          <w:szCs w:val="28"/>
        </w:rPr>
        <w:t>缺少源侧功率调节中枢：没有分支级能量调度单元；光伏、风机出力波动直接冲击站内主母线；新能源大发无本地吸纳手段，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存在</w:t>
      </w:r>
      <w:r>
        <w:rPr>
          <w:rFonts w:hint="eastAsia" w:ascii="宋体" w:hAnsi="宋体" w:eastAsia="宋体" w:cs="宋体"/>
          <w:sz w:val="28"/>
          <w:szCs w:val="28"/>
        </w:rPr>
        <w:t>弃风弃光现象。</w:t>
      </w:r>
    </w:p>
    <w:p w14:paraId="6EF30F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</w:t>
      </w:r>
      <w:r>
        <w:rPr>
          <w:rFonts w:hint="eastAsia" w:ascii="宋体" w:hAnsi="宋体" w:eastAsia="宋体" w:cs="宋体"/>
          <w:sz w:val="28"/>
          <w:szCs w:val="28"/>
        </w:rPr>
        <w:t>分支并网防护缺失：光伏分支无独立防孤岛、故障隔离保护；分支故障容易传导至站内主配电系统。</w:t>
      </w:r>
    </w:p>
    <w:p w14:paraId="5D285F86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bookmarkStart w:id="7" w:name="heading_7"/>
      <w:r>
        <w:rPr>
          <w:rFonts w:hint="eastAsia" w:ascii="宋体" w:hAnsi="宋体" w:eastAsia="宋体" w:cs="宋体"/>
        </w:rPr>
        <w:t>2.3 项目核心意义</w:t>
      </w:r>
      <w:bookmarkEnd w:id="7"/>
    </w:p>
    <w:p w14:paraId="00A2EB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本项目为源侧轻量化分支微网示范，控制配电站改造范围，重点在分支侧进行改造，实现孤岛模式下保障场站分支侧负荷供电；虽然分支不带站内大功率负荷，但可实现光伏、风机出力波动就地平抑、提升新能源消纳，配电网故障时保障场站分支侧负荷应急供电；微网可调资源可向上参与虚拟电厂需求响应。</w:t>
      </w:r>
    </w:p>
    <w:p w14:paraId="49C4BA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探索 “大负荷保留主电网供电、仅新能源分支构建微网，一次接线最小改动” 的新模式</w:t>
      </w:r>
      <w:r>
        <w:rPr>
          <w:rFonts w:hint="eastAsia" w:ascii="宋体" w:hAnsi="宋体" w:eastAsia="宋体" w:cs="宋体"/>
          <w:sz w:val="28"/>
          <w:szCs w:val="28"/>
        </w:rPr>
        <w:t>，形成可复制、可推广的基层能源站点升级模式，为区域新型电力系统建设、分布式能源规模化应用提供实景支撑。</w:t>
      </w:r>
    </w:p>
    <w:p w14:paraId="22C87470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bookmarkStart w:id="8" w:name="heading_8"/>
      <w:r>
        <w:rPr>
          <w:rFonts w:hint="eastAsia" w:ascii="宋体" w:hAnsi="宋体" w:eastAsia="宋体" w:cs="宋体"/>
        </w:rPr>
        <w:t>三、改造总体目标</w:t>
      </w:r>
      <w:bookmarkEnd w:id="8"/>
    </w:p>
    <w:p w14:paraId="4D7742A9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bookmarkStart w:id="9" w:name="heading_9"/>
      <w:r>
        <w:rPr>
          <w:rFonts w:hint="eastAsia" w:ascii="宋体" w:hAnsi="宋体" w:eastAsia="宋体" w:cs="宋体"/>
        </w:rPr>
        <w:t>3.1 功能目标</w:t>
      </w:r>
      <w:bookmarkEnd w:id="9"/>
    </w:p>
    <w:p w14:paraId="05A968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1.搭建分支侧微网能量管理控制系统，对光伏、风机、分支储能、场站分支侧负荷开展调度；分支回路清洁能源渗透率≥95%；储能重点承担平抑风光波动、电压支撑、富余电量存储。</w:t>
      </w:r>
    </w:p>
    <w:p w14:paraId="28FF56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2.部署分支STS并网-孤岛隔离切换系统，毫秒级完成模式切换；孤岛工况保障场站分支侧负荷不间断供电≥2h；孤岛状态下与站内主市电实现电气隔离，站内其余负荷不受影响。</w:t>
      </w:r>
    </w:p>
    <w:p w14:paraId="33A2BE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3.分支仅存在科普展示区等负荷，孤岛时依靠储能+风光通信有功调节实现功率平衡；风光瞬时出力超过储能PCS功率上限时，微网主控对光伏、风机执行有功降功率约束。</w:t>
      </w:r>
    </w:p>
    <w:p w14:paraId="67301F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4.配置分支独立防孤岛、继电保护、双重联锁，杜绝分支孤岛向主母线倒送电，满足南网并网技术规范。</w:t>
      </w:r>
    </w:p>
    <w:p w14:paraId="4E8BAF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5.分支微网资源接入区域智慧能源平台、虚拟电厂，具备需求响应、调压支撑能力。</w:t>
      </w:r>
    </w:p>
    <w:p w14:paraId="1F07E47D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bookmarkStart w:id="10" w:name="heading_10"/>
      <w:r>
        <w:rPr>
          <w:rFonts w:hint="eastAsia" w:ascii="宋体" w:hAnsi="宋体" w:eastAsia="宋体" w:cs="宋体"/>
        </w:rPr>
        <w:t>3.2 技术目标</w:t>
      </w:r>
      <w:bookmarkEnd w:id="10"/>
    </w:p>
    <w:p w14:paraId="0950A9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1.分支源-储-负荷数据实时采集，调度毫秒级响应，分支设备监控率100%，数据准确率≥99%；储能具备分支黑启动，分支微网自愈恢复时间≤100ms。</w:t>
      </w:r>
    </w:p>
    <w:p w14:paraId="6C5DD3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2.支持分支并网、孤岛双模式；模式切换分支负荷无断电；孤岛工况电压、频率满足国标；孤岛状态硬件联锁禁止与站内主母线连通。</w:t>
      </w:r>
    </w:p>
    <w:p w14:paraId="3C440F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3.分支微网调度策略执行准确率≥95%，完成风光出力平抑、并网点电压支撑、应急保供场站关键负荷。</w:t>
      </w:r>
    </w:p>
    <w:p w14:paraId="00F4A7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</w:t>
      </w:r>
      <w:r>
        <w:rPr>
          <w:rFonts w:hint="eastAsia" w:ascii="宋体" w:hAnsi="宋体" w:eastAsia="宋体" w:cs="宋体"/>
          <w:sz w:val="28"/>
          <w:szCs w:val="28"/>
        </w:rPr>
        <w:t>系统综合运行效率≥90%，新增储能设备防护等级达IP54，适配户外长期稳定运行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和</w:t>
      </w:r>
      <w:r>
        <w:rPr>
          <w:rFonts w:hint="eastAsia" w:ascii="宋体" w:hAnsi="宋体" w:eastAsia="宋体" w:cs="宋体"/>
          <w:sz w:val="28"/>
          <w:szCs w:val="28"/>
        </w:rPr>
        <w:t>运维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要求。</w:t>
      </w:r>
    </w:p>
    <w:p w14:paraId="126316CE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bookmarkStart w:id="11" w:name="heading_11"/>
      <w:r>
        <w:rPr>
          <w:rFonts w:hint="eastAsia" w:ascii="宋体" w:hAnsi="宋体" w:eastAsia="宋体" w:cs="宋体"/>
        </w:rPr>
        <w:t>3.3 效益目标</w:t>
      </w:r>
      <w:bookmarkEnd w:id="11"/>
    </w:p>
    <w:p w14:paraId="051383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并网运行下实现光伏分支内部平抑风光波动，降低对站内主母线的功率冲击，提升风光就地消纳；故障孤岛实现场站关键负荷应急保供；形成源侧分支微网示范样板；具备生态效益、电网调节效益与示范社会效益。</w:t>
      </w:r>
    </w:p>
    <w:p w14:paraId="37D6A8E5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bookmarkStart w:id="12" w:name="heading_12"/>
      <w:r>
        <w:rPr>
          <w:rFonts w:hint="eastAsia" w:ascii="宋体" w:hAnsi="宋体" w:eastAsia="宋体" w:cs="宋体"/>
        </w:rPr>
        <w:t>四、详细改造实施方案</w:t>
      </w:r>
      <w:bookmarkEnd w:id="12"/>
    </w:p>
    <w:p w14:paraId="561CEC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1、在翠亨南网E站公用配电站内更换4022开关、4023开关为智能断路器开关；</w:t>
      </w:r>
    </w:p>
    <w:p w14:paraId="504EE4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2、在原光伏并网箱附近新建光储汇流箱1台、微网配电箱1台；在光伏车棚处新增储能柜(50kW/110kwh)/1台；</w:t>
      </w:r>
    </w:p>
    <w:p w14:paraId="3D9904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3、在原光伏并网箱处解口进线低压电缆，将该电缆改接至新建光储汇流箱总开关;</w:t>
      </w:r>
    </w:p>
    <w:p w14:paraId="537673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4、在原电力科普区#1动力箱处解口进线低压电缆，将该电缆改接至新建微网配电箱STS静态转换开关备供回路;</w:t>
      </w:r>
    </w:p>
    <w:p w14:paraId="37F924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5、从新建光储汇流箱新敷设1回低压电缆ZA-YJV22-4X150/10m接至新建微网配电箱STS静态转换开关主供回路;</w:t>
      </w:r>
    </w:p>
    <w:p w14:paraId="75A697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6、从新建光储汇流箱新敷设1回低压电缆ZA-YJV22-4X150/10m接至原光伏并网箱;</w:t>
      </w:r>
    </w:p>
    <w:p w14:paraId="45FA3C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7、由新建微网配电箱敷设1回低压电缆ZA-YJV22-4X35/50m接入新增储能柜；</w:t>
      </w:r>
    </w:p>
    <w:p w14:paraId="48176D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8、由新建微网配电箱敷设1回低压电缆ZA-YJV22-4X35/25m接入电力科普区#1动力箱。</w:t>
      </w:r>
    </w:p>
    <w:p w14:paraId="02593D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并网模式：分支STS闭合，源-储-负荷与主配电网连通；孤岛模式：STS毫秒级断开，与主配电网电气隔离，由构网储能建立分支电压频率，仅供电力科普区等场站分支侧负荷。</w:t>
      </w:r>
    </w:p>
    <w:p w14:paraId="24EECE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改造前后示意见下图：</w:t>
      </w:r>
    </w:p>
    <w:p w14:paraId="6C684D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06A637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0" w:firstLineChars="0"/>
        <w:jc w:val="left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sz w:val="28"/>
          <w:szCs w:val="28"/>
          <w:lang w:val="en-US" w:eastAsia="zh-CN"/>
        </w:rPr>
        <w:drawing>
          <wp:inline distT="0" distB="0" distL="114300" distR="114300">
            <wp:extent cx="5048885" cy="3572510"/>
            <wp:effectExtent l="0" t="0" r="18415" b="8890"/>
            <wp:docPr id="1" name="图片 1" descr="改造前接线示意图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改造前接线示意图_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48885" cy="3572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1D711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sz w:val="28"/>
        </w:rPr>
      </w:pPr>
      <w:bookmarkStart w:id="13" w:name="heading_13"/>
      <w:r>
        <w:rPr>
          <w:rFonts w:hint="eastAsia" w:ascii="宋体" w:hAnsi="宋体" w:eastAsia="宋体" w:cs="宋体"/>
          <w:b/>
          <w:sz w:val="28"/>
        </w:rPr>
        <w:t>改造前接线示意图</w:t>
      </w:r>
      <w:bookmarkEnd w:id="13"/>
    </w:p>
    <w:p w14:paraId="741ED4D4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015230" cy="3550285"/>
            <wp:effectExtent l="0" t="0" r="13970" b="12065"/>
            <wp:docPr id="3" name="图片 3" descr="改造后接线示意图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改造后接线示意图_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15230" cy="3550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CD422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sz w:val="28"/>
        </w:rPr>
      </w:pPr>
      <w:bookmarkStart w:id="14" w:name="heading_14"/>
      <w:r>
        <w:rPr>
          <w:rFonts w:hint="eastAsia" w:ascii="宋体" w:hAnsi="宋体" w:eastAsia="宋体" w:cs="宋体"/>
          <w:b/>
          <w:sz w:val="28"/>
        </w:rPr>
        <w:t>改造</w:t>
      </w:r>
      <w:r>
        <w:rPr>
          <w:rFonts w:hint="eastAsia" w:ascii="宋体" w:hAnsi="宋体" w:eastAsia="宋体" w:cs="宋体"/>
          <w:b/>
          <w:sz w:val="28"/>
          <w:lang w:val="en-US" w:eastAsia="zh-CN"/>
        </w:rPr>
        <w:t>后</w:t>
      </w:r>
      <w:r>
        <w:rPr>
          <w:rFonts w:hint="eastAsia" w:ascii="宋体" w:hAnsi="宋体" w:eastAsia="宋体" w:cs="宋体"/>
          <w:b/>
          <w:sz w:val="28"/>
        </w:rPr>
        <w:t>接线示意图</w:t>
      </w:r>
    </w:p>
    <w:p w14:paraId="50B32AF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after="120" w:line="360" w:lineRule="auto"/>
        <w:ind w:left="0"/>
        <w:jc w:val="left"/>
        <w:textAlignment w:val="auto"/>
        <w:outlineLvl w:val="3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8"/>
        </w:rPr>
        <w:t>4.1.1 分支侧智能化改造</w:t>
      </w:r>
      <w:bookmarkEnd w:id="14"/>
    </w:p>
    <w:p w14:paraId="7E07D4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1.在翠亨南网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E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站公用配电站内更换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4022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开关、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4023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开关为智能断路器开关；在原光伏并网箱附近新建光储汇流箱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台、微网配电箱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台；在光伏车棚处新增储能柜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(50kW/110kwh)/1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台；配电站和光伏并网箱、电力科普区#1动力箱的低压电缆改造。</w:t>
      </w:r>
    </w:p>
    <w:p w14:paraId="66539E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2.STS配置机械+电气双重硬联锁逻辑：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（1）并网模式：STS闭合，微网跟随主配电网电压-频率运行；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（2）孤岛模式：STS检测上游主配电网异常，≤8ms 快速分断，光伏-储能-分支负荷-风机形成独立局部微网；硬件联锁锁死STS合闸回路，杜绝孤岛状态向配电站0.4kV主母线倒送电风险。</w:t>
      </w:r>
    </w:p>
    <w:p w14:paraId="1E9AB5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STS内置电压/频率故障检测、同期相位校验功能，仅作用本分支回路，不干预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配电站</w:t>
      </w:r>
      <w:r>
        <w:rPr>
          <w:rFonts w:hint="eastAsia" w:ascii="宋体" w:hAnsi="宋体" w:eastAsia="宋体" w:cs="宋体"/>
          <w:sz w:val="28"/>
          <w:szCs w:val="28"/>
        </w:rPr>
        <w:t>0.4kV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主母线</w:t>
      </w:r>
      <w:r>
        <w:rPr>
          <w:rFonts w:hint="eastAsia" w:ascii="宋体" w:hAnsi="宋体" w:eastAsia="宋体" w:cs="宋体"/>
          <w:sz w:val="28"/>
          <w:szCs w:val="28"/>
        </w:rPr>
        <w:t>上其他出线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站内其余负荷维持现状，继续由0.4kV主母线其他出线供电，不进入本微网孤岛域。</w:t>
      </w:r>
    </w:p>
    <w:p w14:paraId="132E742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after="120" w:line="360" w:lineRule="auto"/>
        <w:ind w:left="0"/>
        <w:jc w:val="left"/>
        <w:textAlignment w:val="auto"/>
        <w:outlineLvl w:val="3"/>
        <w:rPr>
          <w:rFonts w:hint="eastAsia" w:ascii="宋体" w:hAnsi="宋体" w:eastAsia="宋体" w:cs="宋体"/>
          <w:b/>
          <w:sz w:val="28"/>
        </w:rPr>
      </w:pPr>
      <w:bookmarkStart w:id="15" w:name="heading_15"/>
      <w:r>
        <w:rPr>
          <w:rFonts w:hint="eastAsia" w:ascii="宋体" w:hAnsi="宋体" w:eastAsia="宋体" w:cs="宋体"/>
          <w:b/>
          <w:sz w:val="28"/>
        </w:rPr>
        <w:t>4.1.2 分支侧储能系统配置</w:t>
      </w:r>
      <w:bookmarkEnd w:id="15"/>
    </w:p>
    <w:p w14:paraId="199671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配置50kW/110kWh构网型一体化户外储能柜，PCS支持PQ跟网 / VF构网双模式，具备VSG虚拟同步、分支黑启动；防护等级 IP54，系统综合效率≥90%；集成BMS、EMS、散热消防。储能EMS 与分支</w:t>
      </w:r>
      <w:r>
        <w:rPr>
          <w:rFonts w:hint="eastAsia" w:ascii="宋体" w:hAnsi="宋体" w:eastAsia="宋体" w:cs="宋体"/>
          <w:sz w:val="28"/>
          <w:szCs w:val="28"/>
        </w:rPr>
        <w:t>微网主控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MGCC、分支STS硬联动+软协同。</w:t>
      </w:r>
    </w:p>
    <w:p w14:paraId="5A3D57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运行策略要点：</w:t>
      </w:r>
    </w:p>
    <w:p w14:paraId="73D8EA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分支并网工况（常态）：储能PQ模式，0-50kW功率区间平抑光伏、风机分钟级出力波动；风光大发优先吸纳富余电量；参与配网调压、虚拟电厂需求响应；SOC维持20%-90%。超出储能吸收能力的新能源电量，在并网模式下可合规送回站内主母线。风光瞬时出力大于50kW时执行小幅有功限幅。</w:t>
      </w:r>
    </w:p>
    <w:p w14:paraId="4A951AAC">
      <w:pPr>
        <w:spacing w:before="260" w:after="120" w:line="288" w:lineRule="auto"/>
        <w:ind w:left="0"/>
        <w:jc w:val="left"/>
        <w:outlineLvl w:val="3"/>
      </w:pPr>
      <w:bookmarkStart w:id="16" w:name="heading_16"/>
      <w:r>
        <w:rPr>
          <w:rFonts w:ascii="Arial" w:hAnsi="Arial" w:eastAsia="等线" w:cs="Arial"/>
          <w:b/>
          <w:sz w:val="28"/>
        </w:rPr>
        <w:t>4.1.3 风光发电可控化升级</w:t>
      </w:r>
      <w:bookmarkEnd w:id="16"/>
    </w:p>
    <w:p w14:paraId="6A0F6E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现有光伏逆变器位于光伏并网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箱</w:t>
      </w:r>
      <w:r>
        <w:rPr>
          <w:rFonts w:hint="eastAsia" w:ascii="宋体" w:hAnsi="宋体" w:eastAsia="宋体" w:cs="宋体"/>
          <w:sz w:val="28"/>
          <w:szCs w:val="28"/>
        </w:rPr>
        <w:t>内，保留原有柜内一次接线，通过通信对接逆变器，接收分支MGCC调度指令，可动态调节有功、无功，支持有功功率限幅。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现有3kW垂直轴风力发电机：动力电缆、光伏并网柜内一次器件完全不改动，仅敷设通信控制线接入分支微网控制系统；实现远程有功/无功功率调节，可执行有功限幅；孤岛工况参与分支电压频率支撑。</w:t>
      </w:r>
    </w:p>
    <w:p w14:paraId="1239913E">
      <w:pPr>
        <w:spacing w:before="260" w:after="120" w:line="288" w:lineRule="auto"/>
        <w:ind w:left="0"/>
        <w:jc w:val="left"/>
        <w:outlineLvl w:val="3"/>
      </w:pPr>
      <w:bookmarkStart w:id="17" w:name="heading_18"/>
      <w:r>
        <w:rPr>
          <w:rFonts w:ascii="Arial" w:hAnsi="Arial" w:eastAsia="等线" w:cs="Arial"/>
          <w:b/>
          <w:sz w:val="28"/>
        </w:rPr>
        <w:t>4.1.</w:t>
      </w:r>
      <w:r>
        <w:rPr>
          <w:rFonts w:hint="eastAsia" w:ascii="Arial" w:hAnsi="Arial" w:eastAsia="等线" w:cs="Arial"/>
          <w:b/>
          <w:sz w:val="28"/>
          <w:lang w:val="en-US" w:eastAsia="zh-CN"/>
        </w:rPr>
        <w:t>4</w:t>
      </w:r>
      <w:r>
        <w:rPr>
          <w:rFonts w:ascii="Arial" w:hAnsi="Arial" w:eastAsia="等线" w:cs="Arial"/>
          <w:b/>
          <w:sz w:val="28"/>
        </w:rPr>
        <w:t xml:space="preserve"> 主要设备与负荷参数表</w:t>
      </w:r>
      <w:bookmarkEnd w:id="17"/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400"/>
        <w:gridCol w:w="1900"/>
        <w:gridCol w:w="1650"/>
        <w:gridCol w:w="1650"/>
        <w:gridCol w:w="1650"/>
      </w:tblGrid>
      <w:tr w14:paraId="15A5E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79CF24D">
            <w:pPr>
              <w:spacing w:before="120" w:after="120" w:line="288" w:lineRule="auto"/>
              <w:ind w:left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序号</w:t>
            </w:r>
          </w:p>
        </w:tc>
        <w:tc>
          <w:tcPr>
            <w:tcW w:w="19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B80EA6">
            <w:pPr>
              <w:spacing w:before="120" w:after="120" w:line="288" w:lineRule="auto"/>
              <w:ind w:left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类别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6F7285">
            <w:pPr>
              <w:spacing w:before="120" w:after="120" w:line="288" w:lineRule="auto"/>
              <w:ind w:left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设备 / 参数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21F6643">
            <w:pPr>
              <w:spacing w:before="120" w:after="120" w:line="288" w:lineRule="auto"/>
              <w:ind w:left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容量 / 规格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719E8C4">
            <w:pPr>
              <w:spacing w:before="120" w:after="120" w:line="288" w:lineRule="auto"/>
              <w:ind w:left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备注</w:t>
            </w:r>
          </w:p>
        </w:tc>
      </w:tr>
      <w:tr w14:paraId="11DBE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EF4220B">
            <w:pPr>
              <w:spacing w:before="120" w:after="120" w:line="288" w:lineRule="auto"/>
              <w:ind w:left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</w:t>
            </w:r>
          </w:p>
        </w:tc>
        <w:tc>
          <w:tcPr>
            <w:tcW w:w="19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332B037">
            <w:pPr>
              <w:spacing w:before="120" w:after="120" w:line="288" w:lineRule="auto"/>
              <w:ind w:left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市电/配变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F93877">
            <w:pPr>
              <w:spacing w:before="120" w:after="120" w:line="288" w:lineRule="auto"/>
              <w:ind w:left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公用配电站变压器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02467D0">
            <w:pPr>
              <w:spacing w:before="120" w:after="120" w:line="288" w:lineRule="auto"/>
              <w:ind w:left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1250kVA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C6F985">
            <w:pPr>
              <w:spacing w:before="120" w:after="120" w:line="288" w:lineRule="auto"/>
              <w:ind w:left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现有，站内绝大多数负荷供电，不参与分支微网</w:t>
            </w:r>
          </w:p>
        </w:tc>
      </w:tr>
      <w:tr w14:paraId="42083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0AF497">
            <w:pPr>
              <w:spacing w:before="120" w:after="120" w:line="288" w:lineRule="auto"/>
              <w:ind w:left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9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CF51FA">
            <w:pPr>
              <w:spacing w:before="120" w:after="120" w:line="288" w:lineRule="auto"/>
              <w:ind w:left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智能断路器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BF30F3">
            <w:pPr>
              <w:spacing w:before="120" w:after="120" w:line="288" w:lineRule="auto"/>
              <w:ind w:left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4022/4023低压开关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D415CB">
            <w:pPr>
              <w:spacing w:before="120" w:after="120" w:line="288" w:lineRule="auto"/>
              <w:ind w:left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</w:rPr>
              <w:t>远程可控、毫秒级投切、过压过流保护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415747">
            <w:pPr>
              <w:spacing w:before="120" w:after="120" w:line="288" w:lineRule="auto"/>
              <w:ind w:left="0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改造更换2台</w:t>
            </w:r>
          </w:p>
        </w:tc>
      </w:tr>
      <w:tr w14:paraId="3A8E8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FD73518">
            <w:pPr>
              <w:spacing w:before="120" w:after="120" w:line="288" w:lineRule="auto"/>
              <w:ind w:left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9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A438A9">
            <w:pPr>
              <w:spacing w:before="120" w:after="120" w:line="288" w:lineRule="auto"/>
              <w:ind w:left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光伏系统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AEFA2E">
            <w:pPr>
              <w:spacing w:before="120" w:after="120" w:line="288" w:lineRule="auto"/>
              <w:ind w:left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光伏组件/逆变器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55D9B4">
            <w:pPr>
              <w:spacing w:before="120" w:after="120" w:line="288" w:lineRule="auto"/>
              <w:ind w:left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50.805kWp/ 58kW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AC983C7">
            <w:pPr>
              <w:spacing w:before="120" w:after="120" w:line="288" w:lineRule="auto"/>
              <w:ind w:left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原有光伏并网柜设备，通信接入分支微网，一次接线不变，支持有功限幅</w:t>
            </w:r>
          </w:p>
        </w:tc>
      </w:tr>
      <w:tr w14:paraId="62DB2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0B4239">
            <w:pPr>
              <w:spacing w:before="120" w:after="120" w:line="288" w:lineRule="auto"/>
              <w:ind w:left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9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696D0D">
            <w:pPr>
              <w:spacing w:before="120" w:after="120" w:line="288" w:lineRule="auto"/>
              <w:ind w:left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风电系统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A85EF56">
            <w:pPr>
              <w:spacing w:before="120" w:after="120" w:line="288" w:lineRule="auto"/>
              <w:ind w:left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垂直轴风力发电机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E1D324">
            <w:pPr>
              <w:spacing w:before="120" w:after="120" w:line="288" w:lineRule="auto"/>
              <w:ind w:left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3kW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B76434">
            <w:pPr>
              <w:spacing w:before="120" w:after="120" w:line="288" w:lineRule="auto"/>
              <w:ind w:left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一次接线维持光伏并网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箱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原状，新增通信控制线接入微网调度，支持有功限幅</w:t>
            </w:r>
          </w:p>
        </w:tc>
      </w:tr>
      <w:tr w14:paraId="4C996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3D893E4">
            <w:pPr>
              <w:spacing w:before="120" w:after="120" w:line="288" w:lineRule="auto"/>
              <w:ind w:left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9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1D0908">
            <w:pPr>
              <w:spacing w:before="120" w:after="120" w:line="288" w:lineRule="auto"/>
              <w:ind w:left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储能系统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F320965">
            <w:pPr>
              <w:spacing w:before="120" w:after="120" w:line="288" w:lineRule="auto"/>
              <w:ind w:left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构网型PCS / 磷酸铁锂电池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9B8366">
            <w:pPr>
              <w:spacing w:before="120" w:after="120" w:line="288" w:lineRule="auto"/>
              <w:ind w:left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50kW/110kWh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F70627">
            <w:pPr>
              <w:spacing w:before="120" w:after="120" w:line="288" w:lineRule="auto"/>
              <w:ind w:left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新增，PCS 上限50kW，风光超功率需执行新能源小幅有功限幅；含 BMS、EMS、消防散热</w:t>
            </w:r>
          </w:p>
        </w:tc>
      </w:tr>
      <w:tr w14:paraId="2B45B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BF9F1C">
            <w:pPr>
              <w:spacing w:before="120" w:after="120" w:line="288" w:lineRule="auto"/>
              <w:ind w:left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9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0010A7">
            <w:pPr>
              <w:spacing w:before="120" w:after="120" w:line="288" w:lineRule="auto"/>
              <w:ind w:left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分支并离网切换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D2F781">
            <w:pPr>
              <w:spacing w:before="120" w:after="120" w:line="288" w:lineRule="auto"/>
              <w:ind w:left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分支STS静态转换开关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9681473">
            <w:pPr>
              <w:spacing w:before="120" w:after="120" w:line="288" w:lineRule="auto"/>
              <w:ind w:left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切换时间≤8ms；机械+电气双重联锁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FD7807">
            <w:pPr>
              <w:spacing w:before="120" w:after="120" w:line="288" w:lineRule="auto"/>
              <w:ind w:left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布置于新增分支微网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配电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内，防向主母线倒送电</w:t>
            </w:r>
          </w:p>
        </w:tc>
      </w:tr>
      <w:tr w14:paraId="44DF2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F2AB98">
            <w:pPr>
              <w:spacing w:before="120" w:after="120" w:line="288" w:lineRule="auto"/>
              <w:ind w:left="0"/>
              <w:jc w:val="center"/>
              <w:rPr>
                <w:rFonts w:hint="default" w:asciiTheme="minorEastAsia" w:hAnsiTheme="minorEastAsia" w:cstheme="minorEastAsia"/>
                <w:sz w:val="21"/>
                <w:szCs w:val="21"/>
                <w:lang w:val="en-US" w:eastAsia="zh-CN"/>
              </w:rPr>
            </w:pPr>
            <w:bookmarkStart w:id="18" w:name="heading_19"/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9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93BF03">
            <w:pPr>
              <w:spacing w:before="120" w:after="120" w:line="288" w:lineRule="auto"/>
              <w:ind w:left="0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光储汇流装置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9B87799">
            <w:pPr>
              <w:spacing w:before="120" w:after="120" w:line="288" w:lineRule="auto"/>
              <w:ind w:left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zh-CN"/>
              </w:rPr>
              <w:t>光储汇流箱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368222">
            <w:pPr>
              <w:spacing w:before="120" w:after="120" w:line="288" w:lineRule="auto"/>
              <w:ind w:left="0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并网箱1台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CA7939">
            <w:pPr>
              <w:spacing w:before="120" w:after="120" w:line="288" w:lineRule="auto"/>
              <w:ind w:left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</w:tbl>
    <w:p w14:paraId="540603E5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4.2 核心软件平台建设</w:t>
      </w:r>
      <w:bookmarkEnd w:id="18"/>
    </w:p>
    <w:p w14:paraId="76A5C589">
      <w:pPr>
        <w:spacing w:before="300" w:after="120" w:line="288" w:lineRule="auto"/>
        <w:ind w:left="0"/>
        <w:jc w:val="left"/>
        <w:outlineLvl w:val="2"/>
        <w:rPr>
          <w:rFonts w:hint="eastAsia" w:asciiTheme="minorEastAsia" w:hAnsiTheme="minorEastAsia" w:eastAsiaTheme="minorEastAsia" w:cstheme="minorEastAsia"/>
          <w:b/>
          <w:sz w:val="28"/>
          <w:szCs w:val="28"/>
        </w:rPr>
      </w:pPr>
      <w:bookmarkStart w:id="19" w:name="heading_20"/>
      <w:r>
        <w:rPr>
          <w:rFonts w:hint="eastAsia" w:asciiTheme="minorEastAsia" w:hAnsiTheme="minorEastAsia" w:eastAsiaTheme="minorEastAsia" w:cstheme="minorEastAsia"/>
          <w:b/>
          <w:sz w:val="28"/>
          <w:szCs w:val="28"/>
        </w:rPr>
        <w:t>4.2.1 分支微网控制系统（分支微网中枢）</w:t>
      </w:r>
      <w:bookmarkEnd w:id="19"/>
    </w:p>
    <w:p w14:paraId="368B28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搭建分支微网中央控制器MGCC，管控对象：光伏逆变器、风机（通信调度）、分支储能、分支内场站负荷；不读取、不控制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配电站</w:t>
      </w:r>
      <w:r>
        <w:rPr>
          <w:rFonts w:hint="eastAsia" w:ascii="宋体" w:hAnsi="宋体" w:eastAsia="宋体" w:cs="宋体"/>
          <w:sz w:val="28"/>
          <w:szCs w:val="28"/>
        </w:rPr>
        <w:t>内主母线其他回路。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</w:rPr>
        <w:t>核心功能：</w:t>
      </w:r>
    </w:p>
    <w:p w14:paraId="5DCE7A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常态并网模式：优先平抑光伏、风机出力波动、并网点电压支撑，执行虚拟电厂需求响应指令；风光出力超过50kW自动下发有功限幅指令。</w:t>
      </w:r>
    </w:p>
    <w:p w14:paraId="643328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孤岛模式：依靠源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-</w:t>
      </w:r>
      <w:r>
        <w:rPr>
          <w:rFonts w:hint="eastAsia" w:ascii="宋体" w:hAnsi="宋体" w:eastAsia="宋体" w:cs="宋体"/>
          <w:sz w:val="28"/>
          <w:szCs w:val="28"/>
        </w:rPr>
        <w:t>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-</w:t>
      </w:r>
      <w:r>
        <w:rPr>
          <w:rFonts w:hint="eastAsia" w:ascii="宋体" w:hAnsi="宋体" w:eastAsia="宋体" w:cs="宋体"/>
          <w:sz w:val="28"/>
          <w:szCs w:val="28"/>
        </w:rPr>
        <w:t>风光协同维持分支电压频率，保障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场站</w:t>
      </w:r>
      <w:r>
        <w:rPr>
          <w:rFonts w:hint="eastAsia" w:ascii="宋体" w:hAnsi="宋体" w:eastAsia="宋体" w:cs="宋体"/>
          <w:sz w:val="28"/>
          <w:szCs w:val="28"/>
        </w:rPr>
        <w:t>负荷供电。</w:t>
      </w:r>
    </w:p>
    <w:p w14:paraId="437AC341">
      <w:pPr>
        <w:spacing w:before="300" w:after="120" w:line="288" w:lineRule="auto"/>
        <w:ind w:left="0"/>
        <w:jc w:val="left"/>
        <w:outlineLvl w:val="2"/>
        <w:rPr>
          <w:rFonts w:hint="eastAsia" w:asciiTheme="minorEastAsia" w:hAnsiTheme="minorEastAsia" w:eastAsiaTheme="minorEastAsia" w:cstheme="minorEastAsia"/>
          <w:b/>
          <w:sz w:val="28"/>
          <w:szCs w:val="28"/>
        </w:rPr>
      </w:pPr>
      <w:bookmarkStart w:id="20" w:name="heading_21"/>
      <w:r>
        <w:rPr>
          <w:rFonts w:hint="eastAsia" w:asciiTheme="minorEastAsia" w:hAnsiTheme="minorEastAsia" w:eastAsiaTheme="minorEastAsia" w:cstheme="minorEastAsia"/>
          <w:b/>
          <w:sz w:val="28"/>
          <w:szCs w:val="28"/>
        </w:rPr>
        <w:t>4.2.2 数据交互与第三方对接系统</w:t>
      </w:r>
      <w:bookmarkEnd w:id="20"/>
    </w:p>
    <w:p w14:paraId="1F5607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向上对接虚拟电厂、智慧能源平台，上送分支微网可调资源（储能、光伏、风机），接收需求响应指令；预留后续负荷扩展接口。</w:t>
      </w:r>
    </w:p>
    <w:p w14:paraId="1D15A7CC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bookmarkStart w:id="21" w:name="heading_22"/>
      <w:r>
        <w:rPr>
          <w:rFonts w:hint="eastAsia" w:ascii="宋体" w:hAnsi="宋体" w:eastAsia="宋体" w:cs="宋体"/>
        </w:rPr>
        <w:t>4.3 分支微网多工况运行策略</w:t>
      </w:r>
      <w:bookmarkEnd w:id="21"/>
    </w:p>
    <w:p w14:paraId="6B3D857A">
      <w:pPr>
        <w:spacing w:before="300" w:after="120" w:line="288" w:lineRule="auto"/>
        <w:ind w:left="0"/>
        <w:jc w:val="left"/>
        <w:outlineLvl w:val="2"/>
        <w:rPr>
          <w:rFonts w:hint="eastAsia" w:asciiTheme="minorEastAsia" w:hAnsiTheme="minorEastAsia" w:eastAsiaTheme="minorEastAsia" w:cstheme="minorEastAsia"/>
          <w:b/>
          <w:sz w:val="28"/>
          <w:szCs w:val="28"/>
        </w:rPr>
      </w:pPr>
      <w:bookmarkStart w:id="22" w:name="heading_23"/>
      <w:r>
        <w:rPr>
          <w:rFonts w:hint="eastAsia" w:asciiTheme="minorEastAsia" w:hAnsiTheme="minorEastAsia" w:eastAsiaTheme="minorEastAsia" w:cstheme="minorEastAsia"/>
          <w:b/>
          <w:sz w:val="28"/>
          <w:szCs w:val="28"/>
        </w:rPr>
        <w:t>4.3.1 分支并网正常工况（常态运行）</w:t>
      </w:r>
      <w:bookmarkEnd w:id="22"/>
    </w:p>
    <w:p w14:paraId="7E6E0F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ascii="宋体" w:hAnsi="宋体" w:eastAsia="宋体"/>
          <w:b w:val="0"/>
          <w:sz w:val="28"/>
        </w:rPr>
        <w:t>电网正常时STS闭合，微网并网运行，储能以PQ模式接受MGCC调度指令。谷段（如0:00—8:00）利用低价市电将电池充至SOC约90%；峰段（如10:00—12:00、16:00—21:00）放电供</w:t>
      </w:r>
      <w:r>
        <w:rPr>
          <w:rFonts w:hint="eastAsia" w:ascii="宋体" w:hAnsi="宋体" w:eastAsia="宋体"/>
          <w:b w:val="0"/>
          <w:sz w:val="28"/>
          <w:lang w:val="en-US" w:eastAsia="zh-CN"/>
        </w:rPr>
        <w:t>分支</w:t>
      </w:r>
      <w:r>
        <w:rPr>
          <w:rFonts w:ascii="宋体" w:hAnsi="宋体" w:eastAsia="宋体"/>
          <w:b w:val="0"/>
          <w:sz w:val="28"/>
        </w:rPr>
        <w:t>负荷并参与削峰，获取峰谷价差收益；日间光伏大发时优先就地消纳，富余电量由储能吸收，并快速平抑光伏、风电分钟级出力波动，抑制并网点功率越限与电压偏差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7EF80F7B">
      <w:pPr>
        <w:spacing w:before="300" w:after="120" w:line="288" w:lineRule="auto"/>
        <w:ind w:left="0"/>
        <w:jc w:val="left"/>
        <w:outlineLvl w:val="2"/>
        <w:rPr>
          <w:rFonts w:hint="eastAsia" w:asciiTheme="minorEastAsia" w:hAnsiTheme="minorEastAsia" w:eastAsiaTheme="minorEastAsia" w:cstheme="minorEastAsia"/>
          <w:b/>
          <w:sz w:val="28"/>
          <w:szCs w:val="28"/>
        </w:rPr>
      </w:pPr>
      <w:bookmarkStart w:id="23" w:name="heading_24"/>
      <w:r>
        <w:rPr>
          <w:rFonts w:hint="eastAsia" w:asciiTheme="minorEastAsia" w:hAnsiTheme="minorEastAsia" w:eastAsiaTheme="minorEastAsia" w:cstheme="minorEastAsia"/>
          <w:b/>
          <w:sz w:val="28"/>
          <w:szCs w:val="28"/>
        </w:rPr>
        <w:t>4.3.2 分支计划孤岛工况</w:t>
      </w:r>
      <w:bookmarkEnd w:id="23"/>
    </w:p>
    <w:p w14:paraId="01C7A8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ascii="宋体" w:hAnsi="宋体" w:eastAsia="宋体"/>
          <w:b w:val="0"/>
          <w:sz w:val="28"/>
        </w:rPr>
        <w:t>当上级电网计划检修或需主动离网试验时，提前下发计划孤岛指令，MGCC将电池SOC预置至合理区间，STS按计划分断，</w:t>
      </w:r>
      <w:r>
        <w:rPr>
          <w:rFonts w:hint="eastAsia" w:ascii="宋体" w:hAnsi="宋体" w:eastAsia="宋体" w:cs="宋体"/>
          <w:sz w:val="28"/>
          <w:szCs w:val="28"/>
        </w:rPr>
        <w:t>与站内主市电隔离；</w:t>
      </w:r>
      <w:r>
        <w:rPr>
          <w:rFonts w:ascii="宋体" w:hAnsi="宋体" w:eastAsia="宋体"/>
          <w:b w:val="0"/>
          <w:sz w:val="28"/>
        </w:rPr>
        <w:t>储能切换为VF构网，</w:t>
      </w:r>
      <w:r>
        <w:rPr>
          <w:rFonts w:hint="eastAsia" w:ascii="宋体" w:hAnsi="宋体" w:eastAsia="宋体" w:cs="宋体"/>
          <w:sz w:val="28"/>
          <w:szCs w:val="28"/>
        </w:rPr>
        <w:t>维持分支</w:t>
      </w:r>
      <w:r>
        <w:rPr>
          <w:rFonts w:ascii="宋体" w:hAnsi="宋体" w:eastAsia="宋体"/>
          <w:b w:val="0"/>
          <w:sz w:val="28"/>
        </w:rPr>
        <w:t>微网独立供电，</w:t>
      </w:r>
      <w:r>
        <w:rPr>
          <w:rFonts w:hint="eastAsia" w:ascii="宋体" w:hAnsi="宋体" w:eastAsia="宋体"/>
          <w:b w:val="0"/>
          <w:sz w:val="28"/>
          <w:lang w:val="en-US" w:eastAsia="zh-CN"/>
        </w:rPr>
        <w:t>配电</w:t>
      </w:r>
      <w:r>
        <w:rPr>
          <w:rFonts w:hint="eastAsia" w:ascii="宋体" w:hAnsi="宋体" w:eastAsia="宋体" w:cs="宋体"/>
          <w:sz w:val="28"/>
          <w:szCs w:val="28"/>
        </w:rPr>
        <w:t>站内其他负荷不受任何影响。</w:t>
      </w:r>
    </w:p>
    <w:p w14:paraId="30FC3CC6">
      <w:pPr>
        <w:spacing w:before="300" w:after="120" w:line="288" w:lineRule="auto"/>
        <w:ind w:left="0"/>
        <w:jc w:val="left"/>
        <w:outlineLvl w:val="2"/>
        <w:rPr>
          <w:rFonts w:hint="eastAsia" w:asciiTheme="minorEastAsia" w:hAnsiTheme="minorEastAsia" w:eastAsiaTheme="minorEastAsia" w:cstheme="minorEastAsia"/>
          <w:b/>
          <w:sz w:val="28"/>
          <w:szCs w:val="28"/>
        </w:rPr>
      </w:pPr>
      <w:bookmarkStart w:id="24" w:name="heading_25"/>
      <w:r>
        <w:rPr>
          <w:rFonts w:hint="eastAsia" w:asciiTheme="minorEastAsia" w:hAnsiTheme="minorEastAsia" w:eastAsiaTheme="minorEastAsia" w:cstheme="minorEastAsia"/>
          <w:b/>
          <w:sz w:val="28"/>
          <w:szCs w:val="28"/>
        </w:rPr>
        <w:t>4.3.3 分支故障孤岛工况</w:t>
      </w:r>
      <w:bookmarkEnd w:id="24"/>
    </w:p>
    <w:p w14:paraId="702D01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STS 检测到主网电压/频率异常，≤8ms 断开市电连接；储能快速VF构网建压；实时监测风光总出力，一旦超过50kW，立刻对光伏、风机进行有功限幅；依靠储能吞吐+风光限幅后出力维持分支功率平衡，保障分支负荷不间断供电≥2h；联锁锁死STS合闸回路，严防倒送电；SOC达到告警阈值输出告警信号。</w:t>
      </w:r>
    </w:p>
    <w:p w14:paraId="44A1600C">
      <w:pPr>
        <w:spacing w:before="300" w:after="120" w:line="288" w:lineRule="auto"/>
        <w:ind w:left="0"/>
        <w:jc w:val="left"/>
        <w:outlineLvl w:val="2"/>
        <w:rPr>
          <w:rFonts w:hint="eastAsia" w:asciiTheme="minorEastAsia" w:hAnsiTheme="minorEastAsia" w:eastAsiaTheme="minorEastAsia" w:cstheme="minorEastAsia"/>
          <w:b/>
          <w:sz w:val="28"/>
          <w:szCs w:val="28"/>
        </w:rPr>
      </w:pPr>
      <w:bookmarkStart w:id="25" w:name="heading_26"/>
      <w:r>
        <w:rPr>
          <w:rFonts w:hint="eastAsia" w:asciiTheme="minorEastAsia" w:hAnsiTheme="minorEastAsia" w:eastAsiaTheme="minorEastAsia" w:cstheme="minorEastAsia"/>
          <w:b/>
          <w:sz w:val="28"/>
          <w:szCs w:val="28"/>
        </w:rPr>
        <w:t>4.3.4 分支并网恢复与分支黑启动</w:t>
      </w:r>
      <w:bookmarkEnd w:id="25"/>
    </w:p>
    <w:p w14:paraId="0FAE08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并网恢复：主市电电压频率稳定，STS做同期校验，相位一致后才允许闭合；储能切回PQ模式回到并网运行，同步下发通信指令恢复风机、光伏正常运行模式。</w:t>
      </w:r>
    </w:p>
    <w:p w14:paraId="3748F5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分支黑启动：分支完全失电，储能自主建压，仅恢复分支内部 场站负荷；硬件闭锁，禁止向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配电</w:t>
      </w:r>
      <w:r>
        <w:rPr>
          <w:rFonts w:hint="eastAsia" w:ascii="宋体" w:hAnsi="宋体" w:eastAsia="宋体" w:cs="宋体"/>
          <w:sz w:val="28"/>
          <w:szCs w:val="28"/>
        </w:rPr>
        <w:t>站内主母线输出功率；黑启动完成后再通过通信唤醒光伏、风机。</w:t>
      </w:r>
    </w:p>
    <w:p w14:paraId="2BD376C4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bookmarkStart w:id="26" w:name="heading_27"/>
      <w:r>
        <w:rPr>
          <w:rFonts w:hint="eastAsia" w:ascii="宋体" w:hAnsi="宋体" w:eastAsia="宋体" w:cs="宋体"/>
        </w:rPr>
        <w:t>4.4 核心设备清单</w:t>
      </w:r>
      <w:bookmarkEnd w:id="26"/>
    </w:p>
    <w:p w14:paraId="23D17A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硬件：光储汇流箱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1台，</w:t>
      </w:r>
      <w:r>
        <w:rPr>
          <w:rFonts w:hint="eastAsia" w:ascii="宋体" w:hAnsi="宋体" w:eastAsia="宋体" w:cs="宋体"/>
          <w:sz w:val="28"/>
          <w:szCs w:val="28"/>
        </w:rPr>
        <w:t>分支微网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配电箱</w:t>
      </w:r>
      <w:r>
        <w:rPr>
          <w:rFonts w:hint="eastAsia" w:ascii="宋体" w:hAnsi="宋体" w:eastAsia="宋体" w:cs="宋体"/>
          <w:sz w:val="28"/>
          <w:szCs w:val="28"/>
        </w:rPr>
        <w:t>（内含分支STS静态转换开关）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；</w:t>
      </w:r>
      <w:r>
        <w:rPr>
          <w:rFonts w:hint="eastAsia" w:ascii="宋体" w:hAnsi="宋体" w:eastAsia="宋体" w:cs="宋体"/>
          <w:sz w:val="28"/>
          <w:szCs w:val="28"/>
        </w:rPr>
        <w:t>50kW/110kWh一体化户外储能柜1套；配套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低压</w:t>
      </w:r>
      <w:r>
        <w:rPr>
          <w:rFonts w:hint="eastAsia" w:ascii="宋体" w:hAnsi="宋体" w:eastAsia="宋体" w:cs="宋体"/>
          <w:sz w:val="28"/>
          <w:szCs w:val="28"/>
        </w:rPr>
        <w:t>电缆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和电缆通道等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2B4BBA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软件：分支微网控制系统1套；第三方平台对接模块1套。</w:t>
      </w:r>
    </w:p>
    <w:p w14:paraId="712BD2D4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bookmarkStart w:id="27" w:name="heading_28"/>
      <w:r>
        <w:rPr>
          <w:rFonts w:hint="eastAsia" w:ascii="宋体" w:hAnsi="宋体" w:eastAsia="宋体" w:cs="宋体"/>
        </w:rPr>
        <w:t>五、效益分析</w:t>
      </w:r>
      <w:bookmarkEnd w:id="27"/>
    </w:p>
    <w:p w14:paraId="0CC7ADE2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bookmarkStart w:id="28" w:name="heading_29"/>
      <w:r>
        <w:rPr>
          <w:rFonts w:hint="eastAsia" w:ascii="宋体" w:hAnsi="宋体" w:eastAsia="宋体" w:cs="宋体"/>
        </w:rPr>
        <w:t>5.1 生态效益</w:t>
      </w:r>
      <w:bookmarkEnd w:id="28"/>
    </w:p>
    <w:p w14:paraId="76C254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光伏分支回路清洁能源渗透率≥95%；实现光伏、风机出力波动就地平抑，减少弃风弃光；实现源侧绿电示范。</w:t>
      </w:r>
    </w:p>
    <w:p w14:paraId="6A7F33A8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bookmarkStart w:id="29" w:name="heading_30"/>
      <w:r>
        <w:rPr>
          <w:rFonts w:hint="eastAsia" w:ascii="宋体" w:hAnsi="宋体" w:eastAsia="宋体" w:cs="宋体"/>
        </w:rPr>
        <w:t>5.2 电网效益</w:t>
      </w:r>
      <w:bookmarkEnd w:id="29"/>
    </w:p>
    <w:p w14:paraId="7629E5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储能对风光分支出力做就地平抑，降低新能源对站内主母线的电压、功率冲击；完善分支独立并网保护，消除孤岛倒送电安全风险；分支光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-</w:t>
      </w:r>
      <w:r>
        <w:rPr>
          <w:rFonts w:hint="eastAsia" w:ascii="宋体" w:hAnsi="宋体" w:eastAsia="宋体" w:cs="宋体"/>
          <w:sz w:val="28"/>
          <w:szCs w:val="28"/>
        </w:rPr>
        <w:t>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-</w:t>
      </w:r>
      <w:r>
        <w:rPr>
          <w:rFonts w:hint="eastAsia" w:ascii="宋体" w:hAnsi="宋体" w:eastAsia="宋体" w:cs="宋体"/>
          <w:sz w:val="28"/>
          <w:szCs w:val="28"/>
        </w:rPr>
        <w:t>风机可调资源可以参与虚拟电厂、配网调压、需求响应；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配电</w:t>
      </w:r>
      <w:r>
        <w:rPr>
          <w:rFonts w:hint="eastAsia" w:ascii="宋体" w:hAnsi="宋体" w:eastAsia="宋体" w:cs="宋体"/>
          <w:sz w:val="28"/>
          <w:szCs w:val="28"/>
        </w:rPr>
        <w:t>站内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仅更换</w:t>
      </w:r>
      <w:r>
        <w:rPr>
          <w:rFonts w:hint="eastAsia" w:ascii="宋体" w:hAnsi="宋体" w:eastAsia="宋体" w:cs="宋体"/>
          <w:sz w:val="28"/>
          <w:szCs w:val="28"/>
        </w:rPr>
        <w:t>0.4kV低压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出线开关</w:t>
      </w:r>
      <w:r>
        <w:rPr>
          <w:rFonts w:hint="eastAsia" w:ascii="宋体" w:hAnsi="宋体" w:eastAsia="宋体" w:cs="宋体"/>
          <w:sz w:val="28"/>
          <w:szCs w:val="28"/>
        </w:rPr>
        <w:t>，一次改动最小，改造风险低。</w:t>
      </w:r>
    </w:p>
    <w:p w14:paraId="219565D8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bookmarkStart w:id="30" w:name="heading_31"/>
      <w:r>
        <w:rPr>
          <w:rFonts w:hint="eastAsia" w:ascii="宋体" w:hAnsi="宋体" w:eastAsia="宋体" w:cs="宋体"/>
        </w:rPr>
        <w:t>5.3 运营效益</w:t>
      </w:r>
      <w:bookmarkEnd w:id="30"/>
    </w:p>
    <w:p w14:paraId="2CFF9D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本项目分支用电负荷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较小</w:t>
      </w:r>
      <w:r>
        <w:rPr>
          <w:rFonts w:hint="eastAsia" w:ascii="宋体" w:hAnsi="宋体" w:eastAsia="宋体" w:cs="宋体"/>
          <w:sz w:val="28"/>
          <w:szCs w:val="28"/>
        </w:rPr>
        <w:t>，收益更多来源于：虚拟电厂需求响应补偿、减少弃风弃光损失、配网调压调节收益以及少量峰谷套利。智能化运维降低分支设备巡检成本。</w:t>
      </w:r>
    </w:p>
    <w:p w14:paraId="6B5D4367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bookmarkStart w:id="31" w:name="heading_32"/>
      <w:r>
        <w:rPr>
          <w:rFonts w:hint="eastAsia" w:ascii="宋体" w:hAnsi="宋体" w:eastAsia="宋体" w:cs="宋体"/>
        </w:rPr>
        <w:t>5.4 示范社会效益</w:t>
      </w:r>
      <w:bookmarkEnd w:id="31"/>
    </w:p>
    <w:p w14:paraId="1E34C3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项目建成中山首座基层能源自治微电网站点，打造源侧型分支微电网示范样板；创新形成“风光储协同、智能切换、能碳一体”的改造运营模式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建设可</w:t>
      </w:r>
      <w:r>
        <w:rPr>
          <w:rFonts w:hint="eastAsia" w:ascii="宋体" w:hAnsi="宋体" w:eastAsia="宋体" w:cs="宋体"/>
          <w:sz w:val="28"/>
          <w:szCs w:val="28"/>
        </w:rPr>
        <w:t>批量复制推广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的</w:t>
      </w:r>
      <w:r>
        <w:rPr>
          <w:rFonts w:hint="eastAsia" w:ascii="宋体" w:hAnsi="宋体" w:eastAsia="宋体" w:cs="宋体"/>
          <w:sz w:val="28"/>
          <w:szCs w:val="28"/>
        </w:rPr>
        <w:t>能源站点。同时依托低碳科普、不间断便民服务功能，提升群众绿色用能认知，彰显南方电网智慧能源服务能力与低碳发展成效，社会效益显著。</w:t>
      </w:r>
    </w:p>
    <w:p w14:paraId="783C5FEA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bookmarkStart w:id="32" w:name="heading_33"/>
      <w:r>
        <w:rPr>
          <w:rFonts w:hint="eastAsia" w:ascii="宋体" w:hAnsi="宋体" w:eastAsia="宋体" w:cs="宋体"/>
        </w:rPr>
        <w:t>5.5 方案技术特点、存在不足与优化措施</w:t>
      </w:r>
      <w:bookmarkEnd w:id="32"/>
    </w:p>
    <w:p w14:paraId="49A2A8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技术优势</w:t>
      </w:r>
    </w:p>
    <w:p w14:paraId="49E84F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1.配电</w:t>
      </w:r>
      <w:r>
        <w:rPr>
          <w:rFonts w:hint="eastAsia" w:ascii="宋体" w:hAnsi="宋体" w:eastAsia="宋体" w:cs="宋体"/>
          <w:sz w:val="28"/>
          <w:szCs w:val="28"/>
        </w:rPr>
        <w:t>站内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仅更换</w:t>
      </w:r>
      <w:r>
        <w:rPr>
          <w:rFonts w:hint="eastAsia" w:ascii="宋体" w:hAnsi="宋体" w:eastAsia="宋体" w:cs="宋体"/>
          <w:sz w:val="28"/>
          <w:szCs w:val="28"/>
        </w:rPr>
        <w:t>0.4kV低压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出线开关</w:t>
      </w:r>
      <w:r>
        <w:rPr>
          <w:rFonts w:hint="eastAsia" w:ascii="宋体" w:hAnsi="宋体" w:eastAsia="宋体" w:cs="宋体"/>
          <w:sz w:val="28"/>
          <w:szCs w:val="28"/>
        </w:rPr>
        <w:t>，一次改动最小，降低现场施工停电范围与风险。</w:t>
      </w:r>
    </w:p>
    <w:p w14:paraId="7C6ACA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sz w:val="28"/>
          <w:szCs w:val="28"/>
        </w:rPr>
        <w:t>STS配置机械+电气双重硬联锁，从硬件层面杜绝孤岛向站内主母线倒送电风险。</w:t>
      </w:r>
    </w:p>
    <w:p w14:paraId="038A1C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</w:t>
      </w:r>
      <w:r>
        <w:rPr>
          <w:rFonts w:hint="eastAsia" w:ascii="宋体" w:hAnsi="宋体" w:eastAsia="宋体" w:cs="宋体"/>
          <w:sz w:val="28"/>
          <w:szCs w:val="28"/>
        </w:rPr>
        <w:t>构网储能作为孤岛唯一电压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-</w:t>
      </w:r>
      <w:r>
        <w:rPr>
          <w:rFonts w:hint="eastAsia" w:ascii="宋体" w:hAnsi="宋体" w:eastAsia="宋体" w:cs="宋体"/>
          <w:sz w:val="28"/>
          <w:szCs w:val="28"/>
        </w:rPr>
        <w:t>频率支撑源；光伏、风机可通信调度，支持有功限幅。</w:t>
      </w:r>
    </w:p>
    <w:p w14:paraId="5596CF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</w:t>
      </w:r>
      <w:r>
        <w:rPr>
          <w:rFonts w:hint="eastAsia" w:ascii="宋体" w:hAnsi="宋体" w:eastAsia="宋体" w:cs="宋体"/>
          <w:sz w:val="28"/>
          <w:szCs w:val="28"/>
        </w:rPr>
        <w:t>微网价值重心从 “带大负荷供电” 转向 “新能源源侧调节 +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支线</w:t>
      </w:r>
      <w:r>
        <w:rPr>
          <w:rFonts w:hint="eastAsia" w:ascii="宋体" w:hAnsi="宋体" w:eastAsia="宋体" w:cs="宋体"/>
          <w:sz w:val="28"/>
          <w:szCs w:val="28"/>
        </w:rPr>
        <w:t>负荷应急保供+虚拟电厂可调资源”，贴合本项目现场实际。</w:t>
      </w:r>
    </w:p>
    <w:p w14:paraId="51A521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存在不足</w:t>
      </w:r>
    </w:p>
    <w:p w14:paraId="3AFECF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sz w:val="28"/>
          <w:szCs w:val="28"/>
        </w:rPr>
        <w:t>孤岛仅可保障分支内负荷，无法给站内其他负荷供电。</w:t>
      </w:r>
    </w:p>
    <w:p w14:paraId="460CA3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sz w:val="28"/>
          <w:szCs w:val="28"/>
        </w:rPr>
        <w:t>分支内部负荷小，分支内部峰谷套利空间有限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63FBF1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优化措施</w:t>
      </w:r>
    </w:p>
    <w:p w14:paraId="1B1560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1.储能PCS、电池柜预留扩容接口，后期可扩容PCS与电池，进一步降低对有功限幅的依赖，同时满足后续接入更多保障负荷的需求。</w:t>
      </w:r>
    </w:p>
    <w:p w14:paraId="5900F1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2.软件平台预留负荷接入接口，后续可按需把其他小负荷接入本分支微网。</w:t>
      </w:r>
    </w:p>
    <w:p w14:paraId="0A661D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</w:t>
      </w:r>
      <w:r>
        <w:rPr>
          <w:rFonts w:ascii="宋体" w:hAnsi="宋体" w:eastAsia="宋体"/>
          <w:b w:val="0"/>
          <w:sz w:val="28"/>
        </w:rPr>
        <w:t>同步完善网络安全防护与标准化运维体系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。</w:t>
      </w:r>
    </w:p>
    <w:p w14:paraId="3ECC3C98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bookmarkStart w:id="33" w:name="heading_34"/>
      <w:r>
        <w:rPr>
          <w:rFonts w:hint="eastAsia" w:ascii="宋体" w:hAnsi="宋体" w:eastAsia="宋体" w:cs="宋体"/>
        </w:rPr>
        <w:t>5.6 经济性测算与投资回收期</w:t>
      </w:r>
      <w:bookmarkEnd w:id="33"/>
    </w:p>
    <w:p w14:paraId="29406BC8">
      <w:pPr>
        <w:spacing w:before="120" w:after="120" w:line="360" w:lineRule="auto"/>
        <w:ind w:firstLine="560"/>
        <w:rPr>
          <w:rFonts w:ascii="宋体" w:hAnsi="宋体" w:eastAsia="宋体"/>
          <w:b w:val="0"/>
          <w:sz w:val="28"/>
        </w:rPr>
      </w:pPr>
      <w:r>
        <w:rPr>
          <w:rFonts w:ascii="宋体" w:hAnsi="宋体" w:eastAsia="宋体"/>
          <w:b w:val="0"/>
          <w:sz w:val="28"/>
        </w:rPr>
        <w:t>项目总投资匡算约</w:t>
      </w:r>
      <w:r>
        <w:rPr>
          <w:rFonts w:hint="eastAsia" w:ascii="宋体" w:hAnsi="宋体" w:eastAsia="宋体"/>
          <w:b w:val="0"/>
          <w:sz w:val="28"/>
          <w:lang w:val="en-US" w:eastAsia="zh-CN"/>
        </w:rPr>
        <w:t>43.8</w:t>
      </w:r>
      <w:r>
        <w:rPr>
          <w:rFonts w:ascii="宋体" w:hAnsi="宋体" w:eastAsia="宋体"/>
          <w:b w:val="0"/>
          <w:sz w:val="28"/>
        </w:rPr>
        <w:t>万元。收益来源主要包括：</w:t>
      </w:r>
    </w:p>
    <w:p w14:paraId="14DA162D">
      <w:pPr>
        <w:spacing w:before="120" w:after="120" w:line="360" w:lineRule="auto"/>
        <w:ind w:firstLine="560"/>
        <w:rPr>
          <w:rFonts w:hint="eastAsia" w:ascii="宋体" w:hAnsi="宋体" w:eastAsia="宋体"/>
          <w:b w:val="0"/>
          <w:sz w:val="28"/>
        </w:rPr>
      </w:pPr>
      <w:r>
        <w:rPr>
          <w:rFonts w:hint="eastAsia" w:ascii="宋体" w:hAnsi="宋体" w:eastAsia="宋体"/>
          <w:b w:val="0"/>
          <w:sz w:val="28"/>
        </w:rPr>
        <w:t>1）需求响应、虚拟电厂调节补偿：预估年收益2.5</w:t>
      </w:r>
      <w:r>
        <w:rPr>
          <w:rFonts w:hint="eastAsia" w:ascii="宋体" w:hAnsi="宋体" w:eastAsia="宋体"/>
          <w:b w:val="0"/>
          <w:sz w:val="28"/>
          <w:lang w:val="en-US" w:eastAsia="zh-CN"/>
        </w:rPr>
        <w:t>-</w:t>
      </w:r>
      <w:r>
        <w:rPr>
          <w:rFonts w:hint="eastAsia" w:ascii="宋体" w:hAnsi="宋体" w:eastAsia="宋体"/>
          <w:b w:val="0"/>
          <w:sz w:val="28"/>
        </w:rPr>
        <w:t>4万元；</w:t>
      </w:r>
    </w:p>
    <w:p w14:paraId="51B89086">
      <w:pPr>
        <w:spacing w:before="120" w:after="120" w:line="360" w:lineRule="auto"/>
        <w:ind w:firstLine="560"/>
        <w:rPr>
          <w:rFonts w:hint="eastAsia" w:ascii="宋体" w:hAnsi="宋体" w:eastAsia="宋体"/>
          <w:b w:val="0"/>
          <w:sz w:val="28"/>
        </w:rPr>
      </w:pPr>
      <w:r>
        <w:rPr>
          <w:rFonts w:hint="eastAsia" w:ascii="宋体" w:hAnsi="宋体" w:eastAsia="宋体"/>
          <w:b w:val="0"/>
          <w:sz w:val="28"/>
        </w:rPr>
        <w:t>2）减少弃风弃光，节约电费：预估年收益</w:t>
      </w:r>
      <w:r>
        <w:rPr>
          <w:rFonts w:hint="eastAsia" w:ascii="宋体" w:hAnsi="宋体" w:eastAsia="宋体"/>
          <w:b w:val="0"/>
          <w:sz w:val="28"/>
          <w:lang w:val="en-US" w:eastAsia="zh-CN"/>
        </w:rPr>
        <w:t>0.9-</w:t>
      </w:r>
      <w:r>
        <w:rPr>
          <w:rFonts w:hint="eastAsia" w:ascii="宋体" w:hAnsi="宋体" w:eastAsia="宋体"/>
          <w:b w:val="0"/>
          <w:sz w:val="28"/>
        </w:rPr>
        <w:t>1.2万元；</w:t>
      </w:r>
    </w:p>
    <w:p w14:paraId="7DBFC6D5">
      <w:pPr>
        <w:spacing w:before="120" w:after="120" w:line="360" w:lineRule="auto"/>
        <w:ind w:firstLine="560"/>
        <w:rPr>
          <w:rFonts w:ascii="宋体" w:hAnsi="宋体" w:eastAsia="宋体"/>
          <w:b w:val="0"/>
          <w:sz w:val="28"/>
        </w:rPr>
      </w:pPr>
      <w:r>
        <w:rPr>
          <w:rFonts w:hint="eastAsia" w:ascii="宋体" w:hAnsi="宋体" w:eastAsia="宋体"/>
          <w:b w:val="0"/>
          <w:sz w:val="28"/>
        </w:rPr>
        <w:t>3）少量峰谷套利：预估年收益1</w:t>
      </w:r>
      <w:r>
        <w:rPr>
          <w:rFonts w:hint="eastAsia" w:ascii="宋体" w:hAnsi="宋体" w:eastAsia="宋体"/>
          <w:b w:val="0"/>
          <w:sz w:val="28"/>
          <w:lang w:val="en-US" w:eastAsia="zh-CN"/>
        </w:rPr>
        <w:t>-</w:t>
      </w:r>
      <w:r>
        <w:rPr>
          <w:rFonts w:hint="eastAsia" w:ascii="宋体" w:hAnsi="宋体" w:eastAsia="宋体"/>
          <w:b w:val="0"/>
          <w:sz w:val="28"/>
        </w:rPr>
        <w:t>1</w:t>
      </w:r>
      <w:r>
        <w:rPr>
          <w:rFonts w:hint="eastAsia" w:ascii="宋体" w:hAnsi="宋体" w:eastAsia="宋体"/>
          <w:b w:val="0"/>
          <w:sz w:val="28"/>
          <w:lang w:val="en-US" w:eastAsia="zh-CN"/>
        </w:rPr>
        <w:t>.</w:t>
      </w:r>
      <w:r>
        <w:rPr>
          <w:rFonts w:hint="eastAsia" w:ascii="宋体" w:hAnsi="宋体" w:eastAsia="宋体"/>
          <w:b w:val="0"/>
          <w:sz w:val="28"/>
        </w:rPr>
        <w:t>8万元；</w:t>
      </w:r>
    </w:p>
    <w:p w14:paraId="55220F80">
      <w:pPr>
        <w:spacing w:before="120" w:after="120" w:line="360" w:lineRule="auto"/>
        <w:ind w:firstLine="560"/>
        <w:rPr>
          <w:rFonts w:hint="eastAsia" w:ascii="Arial" w:hAnsi="Arial" w:eastAsia="宋体" w:cs="Arial"/>
          <w:sz w:val="22"/>
          <w:lang w:eastAsia="zh-CN"/>
        </w:rPr>
      </w:pPr>
      <w:r>
        <w:rPr>
          <w:rFonts w:hint="eastAsia" w:ascii="宋体" w:hAnsi="宋体" w:eastAsia="宋体"/>
          <w:b w:val="0"/>
          <w:sz w:val="28"/>
        </w:rPr>
        <w:t>综合年收益约4.</w:t>
      </w:r>
      <w:r>
        <w:rPr>
          <w:rFonts w:hint="eastAsia" w:ascii="宋体" w:hAnsi="宋体" w:eastAsia="宋体"/>
          <w:b w:val="0"/>
          <w:sz w:val="28"/>
          <w:lang w:val="en-US" w:eastAsia="zh-CN"/>
        </w:rPr>
        <w:t>4-</w:t>
      </w:r>
      <w:r>
        <w:rPr>
          <w:rFonts w:hint="eastAsia" w:ascii="宋体" w:hAnsi="宋体" w:eastAsia="宋体"/>
          <w:b w:val="0"/>
          <w:sz w:val="28"/>
        </w:rPr>
        <w:t>7.0万元。</w:t>
      </w:r>
      <w:r>
        <w:rPr>
          <w:rFonts w:ascii="宋体" w:hAnsi="宋体" w:eastAsia="宋体"/>
          <w:b w:val="0"/>
          <w:sz w:val="28"/>
        </w:rPr>
        <w:t>按上述匡算，项目静态投资回收期约</w:t>
      </w:r>
      <w:r>
        <w:rPr>
          <w:rFonts w:hint="eastAsia" w:ascii="宋体" w:hAnsi="宋体" w:eastAsia="宋体"/>
          <w:b w:val="0"/>
          <w:sz w:val="28"/>
          <w:lang w:val="en-US" w:eastAsia="zh-CN"/>
        </w:rPr>
        <w:t>6.5</w:t>
      </w:r>
      <w:r>
        <w:rPr>
          <w:rFonts w:ascii="宋体" w:hAnsi="宋体" w:eastAsia="宋体"/>
          <w:b w:val="0"/>
          <w:sz w:val="28"/>
        </w:rPr>
        <w:t>～1</w:t>
      </w:r>
      <w:r>
        <w:rPr>
          <w:rFonts w:hint="eastAsia" w:ascii="宋体" w:hAnsi="宋体" w:eastAsia="宋体"/>
          <w:b w:val="0"/>
          <w:sz w:val="28"/>
          <w:lang w:val="en-US" w:eastAsia="zh-CN"/>
        </w:rPr>
        <w:t>0</w:t>
      </w:r>
      <w:r>
        <w:rPr>
          <w:rFonts w:ascii="宋体" w:hAnsi="宋体" w:eastAsia="宋体"/>
          <w:b w:val="0"/>
          <w:sz w:val="28"/>
        </w:rPr>
        <w:t>年，储能设计寿命不低于10年，全生命周期内可实现收支平衡并形成示范效益。以上为估算值，实际收益随当地电价政策、电池循环次数及负荷增长情况动态调整</w:t>
      </w:r>
      <w:r>
        <w:rPr>
          <w:rFonts w:hint="eastAsia" w:ascii="宋体" w:hAnsi="宋体" w:eastAsia="宋体"/>
          <w:b w:val="0"/>
          <w:sz w:val="28"/>
          <w:lang w:eastAsia="zh-CN"/>
        </w:rPr>
        <w:t>。</w:t>
      </w:r>
    </w:p>
    <w:p w14:paraId="72D89302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bookmarkStart w:id="34" w:name="heading_35"/>
      <w:r>
        <w:rPr>
          <w:rFonts w:hint="eastAsia" w:ascii="宋体" w:hAnsi="宋体" w:eastAsia="宋体" w:cs="宋体"/>
        </w:rPr>
        <w:t>5.7 风险分析与管控措施</w:t>
      </w:r>
      <w:bookmarkEnd w:id="34"/>
    </w:p>
    <w:p w14:paraId="79E116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技术风险：孤岛工况风光尖峰出力越限；风机通信链路故障导致无法调节出力；STS 联锁失效倒送电。</w:t>
      </w:r>
    </w:p>
    <w:p w14:paraId="2173C9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管控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措施</w:t>
      </w:r>
      <w:r>
        <w:rPr>
          <w:rFonts w:hint="eastAsia" w:ascii="宋体" w:hAnsi="宋体" w:eastAsia="宋体" w:cs="宋体"/>
          <w:sz w:val="28"/>
          <w:szCs w:val="28"/>
        </w:rPr>
        <w:t>：采用构网型PCS保障孤岛电压频率裕度；STS机械+电气双重硬联锁；开展并网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-</w:t>
      </w:r>
      <w:r>
        <w:rPr>
          <w:rFonts w:hint="eastAsia" w:ascii="宋体" w:hAnsi="宋体" w:eastAsia="宋体" w:cs="宋体"/>
          <w:sz w:val="28"/>
          <w:szCs w:val="28"/>
        </w:rPr>
        <w:t>孤岛切换、黑启动、风光满发孤岛扰动全工况专项试验；光伏、风机通信双链路冗余，制定通信故障下就地保护策略。</w:t>
      </w:r>
    </w:p>
    <w:p w14:paraId="1C1894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收益风险：需求响应政策变化、电池衰减；储能PCS功率降低，可参与调峰的上限降低。</w:t>
      </w:r>
    </w:p>
    <w:p w14:paraId="511A16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管控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措施</w:t>
      </w:r>
      <w:r>
        <w:rPr>
          <w:rFonts w:hint="eastAsia" w:ascii="宋体" w:hAnsi="宋体" w:eastAsia="宋体" w:cs="宋体"/>
          <w:sz w:val="28"/>
          <w:szCs w:val="28"/>
        </w:rPr>
        <w:t>：多渠道挖掘调节资源价值；储能预留扩容接口。</w:t>
      </w:r>
    </w:p>
    <w:p w14:paraId="22754E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安全风险：储能消防、分支电气故障。</w:t>
      </w:r>
    </w:p>
    <w:p w14:paraId="7DEB22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管控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措施</w:t>
      </w:r>
      <w:r>
        <w:rPr>
          <w:rFonts w:hint="eastAsia" w:ascii="宋体" w:hAnsi="宋体" w:eastAsia="宋体" w:cs="宋体"/>
          <w:sz w:val="28"/>
          <w:szCs w:val="28"/>
        </w:rPr>
        <w:t>：储能集成BMS、自动消防；分支配置继电保护；</w:t>
      </w:r>
      <w:r>
        <w:rPr>
          <w:rFonts w:ascii="宋体" w:hAnsi="宋体" w:eastAsia="宋体"/>
          <w:b w:val="0"/>
          <w:sz w:val="28"/>
        </w:rPr>
        <w:t>开展定期巡检</w:t>
      </w:r>
      <w:r>
        <w:rPr>
          <w:rFonts w:hint="eastAsia" w:ascii="宋体" w:hAnsi="宋体" w:eastAsia="宋体" w:cs="宋体"/>
          <w:sz w:val="28"/>
          <w:szCs w:val="28"/>
        </w:rPr>
        <w:t>，落实SOC告警运维处置流程。</w:t>
      </w:r>
    </w:p>
    <w:p w14:paraId="66163150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bookmarkStart w:id="35" w:name="heading_36"/>
      <w:r>
        <w:rPr>
          <w:rFonts w:hint="eastAsia" w:ascii="宋体" w:hAnsi="宋体" w:eastAsia="宋体" w:cs="宋体"/>
        </w:rPr>
        <w:t>六、结论</w:t>
      </w:r>
      <w:bookmarkEnd w:id="35"/>
    </w:p>
    <w:p w14:paraId="6F3993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本次翠亨新区南网E站智能微电网改造项目，立足场站现有硬件基础，通过部署分支STS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并网/孤岛</w:t>
      </w:r>
      <w:r>
        <w:rPr>
          <w:rFonts w:hint="eastAsia" w:ascii="宋体" w:hAnsi="宋体" w:eastAsia="宋体" w:cs="宋体"/>
          <w:sz w:val="28"/>
          <w:szCs w:val="28"/>
        </w:rPr>
        <w:t>切换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开关</w:t>
      </w:r>
      <w:r>
        <w:rPr>
          <w:rFonts w:hint="eastAsia" w:ascii="宋体" w:hAnsi="宋体" w:eastAsia="宋体" w:cs="宋体"/>
          <w:sz w:val="28"/>
          <w:szCs w:val="28"/>
        </w:rPr>
        <w:t>、50kW/110kWh构网储能、分支微网主控系统，实现：并网工况下风光出力就地平抑、降低主母线冲击、参与虚拟电厂需求响应；孤岛工况依靠源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-</w:t>
      </w:r>
      <w:r>
        <w:rPr>
          <w:rFonts w:hint="eastAsia" w:ascii="宋体" w:hAnsi="宋体" w:eastAsia="宋体" w:cs="宋体"/>
          <w:sz w:val="28"/>
          <w:szCs w:val="28"/>
        </w:rPr>
        <w:t>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-</w:t>
      </w:r>
      <w:r>
        <w:rPr>
          <w:rFonts w:hint="eastAsia" w:ascii="宋体" w:hAnsi="宋体" w:eastAsia="宋体" w:cs="宋体"/>
          <w:sz w:val="28"/>
          <w:szCs w:val="28"/>
        </w:rPr>
        <w:t>风光协同保障分支场站负荷应急供电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；</w:t>
      </w:r>
      <w:r>
        <w:rPr>
          <w:rFonts w:hint="eastAsia" w:ascii="宋体" w:hAnsi="宋体" w:eastAsia="宋体" w:cs="宋体"/>
          <w:sz w:val="28"/>
          <w:szCs w:val="28"/>
        </w:rPr>
        <w:t>通过双重联锁实现分支孤岛与站内主市电电气隔离，消除倒送电安全隐患。</w:t>
      </w:r>
    </w:p>
    <w:p w14:paraId="6D3C55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本方案一次改动范围小、停电施工影响低、落地风险可控，改造后可实现分支清洁能源渗透率95%以上，兼具极高的生态、经济与示范效益。</w:t>
      </w:r>
    </w:p>
    <w:p w14:paraId="12813D19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bookmarkStart w:id="36" w:name="heading_37"/>
      <w:r>
        <w:rPr>
          <w:rFonts w:hint="eastAsia" w:ascii="宋体" w:hAnsi="宋体" w:eastAsia="宋体" w:cs="宋体"/>
        </w:rPr>
        <w:t>七、详细设备清单与项目投资匡算</w:t>
      </w:r>
      <w:bookmarkEnd w:id="36"/>
    </w:p>
    <w:p w14:paraId="061C23A4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bookmarkStart w:id="37" w:name="heading_38"/>
      <w:r>
        <w:rPr>
          <w:rFonts w:hint="eastAsia" w:ascii="宋体" w:hAnsi="宋体" w:eastAsia="宋体" w:cs="宋体"/>
        </w:rPr>
        <w:t>7.1 项目硬件设备详细清单</w:t>
      </w:r>
      <w:bookmarkEnd w:id="37"/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80"/>
        <w:gridCol w:w="1380"/>
        <w:gridCol w:w="1380"/>
        <w:gridCol w:w="1380"/>
        <w:gridCol w:w="1380"/>
        <w:gridCol w:w="1380"/>
      </w:tblGrid>
      <w:tr w14:paraId="419A9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1475CC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序号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778F07D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设备名称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FEEBD4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规格型号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7D3B21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单位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E4EF65C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数量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E8AA17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备注</w:t>
            </w:r>
          </w:p>
        </w:tc>
      </w:tr>
      <w:tr w14:paraId="0A870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0415648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1A54A03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分支微网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配电箱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（含分支STS并网 / 孤岛切换系统）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EA533E1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工业级；STS 切换时间≤8ms；机械 + 电气双重联锁；电压频率故障检测、同期相位校验；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E3A9BC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套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C73AF51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26ED24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新增独立柜体</w:t>
            </w:r>
          </w:p>
        </w:tc>
      </w:tr>
      <w:tr w14:paraId="549BD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02E9D5A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A1ABEC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光储汇流装置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D25C3B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光储汇流箱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9AE6BA5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993E19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5F31E3F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新增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独立柜体</w:t>
            </w:r>
          </w:p>
        </w:tc>
      </w:tr>
      <w:tr w14:paraId="1C86F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80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B722CCA">
            <w:pPr>
              <w:spacing w:before="120" w:after="120" w:line="288" w:lineRule="auto"/>
              <w:ind w:left="0" w:left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80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07A775">
            <w:pPr>
              <w:spacing w:before="120" w:after="120" w:line="288" w:lineRule="auto"/>
              <w:ind w:left="0" w:left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低压出线开关</w:t>
            </w:r>
          </w:p>
        </w:tc>
        <w:tc>
          <w:tcPr>
            <w:tcW w:w="1380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492DBA">
            <w:pPr>
              <w:spacing w:before="120" w:after="120" w:line="288" w:lineRule="auto"/>
              <w:ind w:left="0" w:left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智能断路器</w:t>
            </w:r>
          </w:p>
        </w:tc>
        <w:tc>
          <w:tcPr>
            <w:tcW w:w="1380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7510D5">
            <w:pPr>
              <w:spacing w:before="120" w:after="120" w:line="288" w:lineRule="auto"/>
              <w:ind w:left="0" w:left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1380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3CF4D79">
            <w:pPr>
              <w:spacing w:before="120" w:after="120" w:line="288" w:lineRule="auto"/>
              <w:ind w:left="0" w:left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80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2162D7">
            <w:pPr>
              <w:spacing w:before="120" w:after="120" w:line="288" w:lineRule="auto"/>
              <w:ind w:left="0" w:left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配电站内更换</w:t>
            </w:r>
          </w:p>
        </w:tc>
      </w:tr>
      <w:tr w14:paraId="27F36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9BEE28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0C800E4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一体化户外储能柜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4D4CD12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构网型 PCS 50kW/磷酸铁锂电池 110kWh；PQ/VF双模式，VSG虚拟同步、分支黑启动；集成 BMS、散热、消防；防护等级 IP54，系统效率≥90%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8EFFDD1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套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76168E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39767FA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源侧平抑风光波动+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分支负荷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保供，与分支 STS时序协同</w:t>
            </w:r>
          </w:p>
        </w:tc>
      </w:tr>
    </w:tbl>
    <w:p w14:paraId="11430128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bookmarkStart w:id="38" w:name="heading_39"/>
      <w:r>
        <w:rPr>
          <w:rFonts w:hint="eastAsia" w:ascii="宋体" w:hAnsi="宋体" w:eastAsia="宋体" w:cs="宋体"/>
        </w:rPr>
        <w:t>7.2 软件与平台系统清单</w:t>
      </w:r>
      <w:bookmarkEnd w:id="38"/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80"/>
        <w:gridCol w:w="1380"/>
        <w:gridCol w:w="1380"/>
        <w:gridCol w:w="1380"/>
        <w:gridCol w:w="1380"/>
        <w:gridCol w:w="1380"/>
      </w:tblGrid>
      <w:tr w14:paraId="11EBF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293618C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序号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07999B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系统名称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8F0EA1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功能配置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624A3C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单位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DEA2681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数量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87290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备注</w:t>
            </w:r>
          </w:p>
        </w:tc>
      </w:tr>
      <w:tr w14:paraId="76BD3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483F51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39C048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分支微网控制系统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F0768F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分支源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储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风光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-分支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负荷调度、双模式管控、故障告警、SOC 分级告警；支持风机、光伏有功限幅调控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4D28E4A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套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D8937C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B24AC8F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E774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A4D9F2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1A3A29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第三方平台对接系统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9F5592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对接虚拟电厂、智慧能源平台，上送分支可调资源，接收需求响应指令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FAB72C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套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155727B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FE34FA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预留后续负荷、储能扩容扩展接口</w:t>
            </w:r>
          </w:p>
        </w:tc>
      </w:tr>
    </w:tbl>
    <w:p w14:paraId="1A46BA9D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bookmarkStart w:id="39" w:name="heading_40"/>
      <w:r>
        <w:rPr>
          <w:rFonts w:hint="eastAsia" w:ascii="宋体" w:hAnsi="宋体" w:eastAsia="宋体" w:cs="宋体"/>
        </w:rPr>
        <w:t>7.3 配套辅材及工程设备</w:t>
      </w:r>
      <w:bookmarkEnd w:id="39"/>
    </w:p>
    <w:p w14:paraId="18821A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分支回路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低压</w:t>
      </w:r>
      <w:r>
        <w:rPr>
          <w:rFonts w:hint="eastAsia" w:ascii="宋体" w:hAnsi="宋体" w:eastAsia="宋体" w:cs="宋体"/>
          <w:sz w:val="28"/>
          <w:szCs w:val="28"/>
        </w:rPr>
        <w:t>电缆、电缆通道、分支防雷接地、通信网关、5G /光纤双链路、分支采集终端、电气隔离辅材、消防安防配套、设备基础预埋件、原有开关保护脱扣器、孤岛负荷回路电缆及保护整改器件（按需）。</w:t>
      </w:r>
    </w:p>
    <w:p w14:paraId="71CD20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1F8106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180ECC68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bookmarkStart w:id="40" w:name="heading_41"/>
      <w:r>
        <w:rPr>
          <w:rFonts w:hint="eastAsia" w:ascii="宋体" w:hAnsi="宋体" w:eastAsia="宋体" w:cs="宋体"/>
        </w:rPr>
        <w:t>7.4 项目整体投资匡算表</w:t>
      </w:r>
      <w:bookmarkEnd w:id="40"/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0"/>
        <w:gridCol w:w="1650"/>
        <w:gridCol w:w="1650"/>
        <w:gridCol w:w="1650"/>
        <w:gridCol w:w="1650"/>
      </w:tblGrid>
      <w:tr w14:paraId="01DBD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9811C9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序号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95A03B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费用分项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91B36BF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包含内容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30069A5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匡算金额（万元）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00D48C0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备注</w:t>
            </w:r>
          </w:p>
        </w:tc>
      </w:tr>
      <w:tr w14:paraId="0F3F4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8BA186B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1</w:t>
            </w:r>
          </w:p>
        </w:tc>
        <w:tc>
          <w:tcPr>
            <w:tcW w:w="1650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A66A7BE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核心硬件设备购置费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DD01AF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分支微网</w:t>
            </w:r>
            <w:r>
              <w:rPr>
                <w:rFonts w:hint="eastAsia" w:ascii="宋体" w:hAnsi="宋体" w:eastAsia="宋体" w:cs="宋体"/>
                <w:sz w:val="22"/>
                <w:lang w:val="en-US" w:eastAsia="zh-CN"/>
              </w:rPr>
              <w:t>配电箱</w:t>
            </w:r>
            <w:r>
              <w:rPr>
                <w:rFonts w:hint="eastAsia" w:ascii="宋体" w:hAnsi="宋体" w:eastAsia="宋体" w:cs="宋体"/>
                <w:sz w:val="22"/>
              </w:rPr>
              <w:t>（内含 STS 系统）1 套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A40348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lang w:val="en-US" w:eastAsia="zh-CN"/>
              </w:rPr>
              <w:t>4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47484E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1CD3B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89C92B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650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BDA077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302C6FD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光储汇流箱</w:t>
            </w:r>
            <w:r>
              <w:rPr>
                <w:rFonts w:hint="eastAsia" w:ascii="宋体" w:hAnsi="宋体" w:eastAsia="宋体" w:cs="宋体"/>
                <w:sz w:val="22"/>
                <w:lang w:val="en-US" w:eastAsia="zh-CN"/>
              </w:rPr>
              <w:t>1台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06C90EE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lang w:val="en-US" w:eastAsia="zh-CN"/>
              </w:rPr>
              <w:t>2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2D1F55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7A1F0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F81865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650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3853D3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01A650">
            <w:pPr>
              <w:spacing w:before="120" w:after="120" w:line="288" w:lineRule="auto"/>
              <w:ind w:left="0"/>
              <w:jc w:val="center"/>
              <w:rPr>
                <w:rFonts w:hint="default" w:ascii="宋体" w:hAnsi="宋体" w:eastAsia="宋体" w:cs="宋体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lang w:val="en-US" w:eastAsia="zh-CN"/>
              </w:rPr>
              <w:t>智能断路器2台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A7F8F6">
            <w:pPr>
              <w:spacing w:before="120" w:after="120" w:line="288" w:lineRule="auto"/>
              <w:ind w:left="0"/>
              <w:jc w:val="center"/>
              <w:rPr>
                <w:rFonts w:hint="default" w:ascii="宋体" w:hAnsi="宋体" w:eastAsia="宋体" w:cs="宋体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lang w:val="en-US" w:eastAsia="zh-CN"/>
              </w:rPr>
              <w:t>0.8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1ADAAE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6D2B9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E54E25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650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A8BBD2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185C01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50kW/110kWh 一体化户外储能柜 1 套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E3BBB0">
            <w:pPr>
              <w:spacing w:before="120" w:after="120" w:line="288" w:lineRule="auto"/>
              <w:ind w:left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lang w:val="en-US" w:eastAsia="zh-CN"/>
              </w:rPr>
              <w:t>10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7B7CF9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403B9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EB3216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2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C28A17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软件平台开发部署费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99F7B09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分支微网主控系统（含风机调度、SOC 告警、有功限幅逻辑）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B1A123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lang w:val="en-US" w:eastAsia="zh-CN"/>
              </w:rPr>
              <w:t>5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3F4965B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38C7F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60E3DC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3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D498C9B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第三方系统集成及调试服务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6295FB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EMS 集成、平台对接、分支逻辑、风机通信联调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202648A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5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F5D950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5E526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88C42C5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4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32556A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配套辅材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E6CF86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分支电缆通道、隔离联锁、防雷接地、通信采集、消防、预埋件、保护脱扣器、负荷回路整改器件（按需）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8A1BA70">
            <w:pPr>
              <w:spacing w:before="120" w:after="120" w:line="288" w:lineRule="auto"/>
              <w:ind w:left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lang w:val="en-US" w:eastAsia="zh-CN"/>
              </w:rPr>
              <w:t>8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A034699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2A0D7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9230504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5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04F60A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工程安装施工费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603FB6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  <w:lang w:val="en-US" w:eastAsia="zh-CN"/>
              </w:rPr>
              <w:t>微网配电箱</w:t>
            </w:r>
            <w:r>
              <w:rPr>
                <w:rFonts w:hint="eastAsia" w:ascii="宋体" w:hAnsi="宋体" w:eastAsia="宋体" w:cs="宋体"/>
                <w:sz w:val="22"/>
              </w:rPr>
              <w:t>就位、分支电缆改接、接线、通信布线、系统联调联试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8DC0A1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7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F01F890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76377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9698CB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6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56D8FE5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其他费用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1B198F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A864F3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2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FFF9759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51EAA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A0A37B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合计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4443F2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项目总投资匡算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850A39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358AD79">
            <w:pPr>
              <w:spacing w:before="120" w:after="120" w:line="288" w:lineRule="auto"/>
              <w:ind w:left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bookmarkStart w:id="41" w:name="_GoBack"/>
            <w:r>
              <w:rPr>
                <w:rFonts w:hint="eastAsia" w:ascii="宋体" w:hAnsi="宋体" w:eastAsia="宋体" w:cs="宋体"/>
                <w:sz w:val="22"/>
              </w:rPr>
              <w:t>4</w:t>
            </w:r>
            <w:r>
              <w:rPr>
                <w:rFonts w:hint="eastAsia" w:ascii="宋体" w:hAnsi="宋体" w:eastAsia="宋体" w:cs="宋体"/>
                <w:sz w:val="22"/>
                <w:lang w:val="en-US" w:eastAsia="zh-CN"/>
              </w:rPr>
              <w:t>3.8</w:t>
            </w:r>
            <w:bookmarkEnd w:id="41"/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AD17E5">
            <w:pPr>
              <w:spacing w:before="120" w:after="120" w:line="288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</w:p>
        </w:tc>
      </w:tr>
    </w:tbl>
    <w:p w14:paraId="17DEFCAA"/>
    <w:p w14:paraId="72DE9E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jc w:val="left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</w:p>
    <w:p w14:paraId="379AA1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</w:p>
    <w:p w14:paraId="4133E9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</w:p>
    <w:p w14:paraId="0A745F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jc w:val="left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</w:p>
    <w:p w14:paraId="1D10F2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D0279F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5BC1B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825838"/>
    <w:rsid w:val="04351700"/>
    <w:rsid w:val="050414F1"/>
    <w:rsid w:val="057B2779"/>
    <w:rsid w:val="0F162893"/>
    <w:rsid w:val="11E80A4C"/>
    <w:rsid w:val="19486DF3"/>
    <w:rsid w:val="1C2B4032"/>
    <w:rsid w:val="1C9B5066"/>
    <w:rsid w:val="1DFF2E75"/>
    <w:rsid w:val="1E5F6357"/>
    <w:rsid w:val="1ECE6B01"/>
    <w:rsid w:val="1EE40026"/>
    <w:rsid w:val="1F14673C"/>
    <w:rsid w:val="1F5F4ACA"/>
    <w:rsid w:val="20B01246"/>
    <w:rsid w:val="21444369"/>
    <w:rsid w:val="218453D4"/>
    <w:rsid w:val="21DB5027"/>
    <w:rsid w:val="24434176"/>
    <w:rsid w:val="25555EA5"/>
    <w:rsid w:val="27FE5A0E"/>
    <w:rsid w:val="29C42E79"/>
    <w:rsid w:val="2A646F3D"/>
    <w:rsid w:val="2A69493F"/>
    <w:rsid w:val="2F8F217B"/>
    <w:rsid w:val="30103954"/>
    <w:rsid w:val="32DF2E04"/>
    <w:rsid w:val="359469A4"/>
    <w:rsid w:val="39A17917"/>
    <w:rsid w:val="445F79C2"/>
    <w:rsid w:val="465C6ABF"/>
    <w:rsid w:val="4B6F2A03"/>
    <w:rsid w:val="4BD73AAE"/>
    <w:rsid w:val="4C27522D"/>
    <w:rsid w:val="4D8D4D08"/>
    <w:rsid w:val="54706863"/>
    <w:rsid w:val="582E4401"/>
    <w:rsid w:val="5CD83ACA"/>
    <w:rsid w:val="5E0654A2"/>
    <w:rsid w:val="5E17048D"/>
    <w:rsid w:val="5F5D44B7"/>
    <w:rsid w:val="61DA0784"/>
    <w:rsid w:val="64CD5EB4"/>
    <w:rsid w:val="66135092"/>
    <w:rsid w:val="668141DE"/>
    <w:rsid w:val="676520B9"/>
    <w:rsid w:val="6A7E68D0"/>
    <w:rsid w:val="6D192053"/>
    <w:rsid w:val="6EBD13BE"/>
    <w:rsid w:val="6FA7639B"/>
    <w:rsid w:val="72F12FCE"/>
    <w:rsid w:val="738124ED"/>
    <w:rsid w:val="74C87981"/>
    <w:rsid w:val="796674DE"/>
    <w:rsid w:val="7AFB4CE5"/>
    <w:rsid w:val="7E8330E9"/>
    <w:rsid w:val="7E8A0B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19</Pages>
  <Words>621</Words>
  <Characters>637</Characters>
  <TotalTime>13</TotalTime>
  <ScaleCrop>false</ScaleCrop>
  <LinksUpToDate>false</LinksUpToDate>
  <CharactersWithSpaces>639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2026-09-19T10:29:00Z</dcterms:created>
  <dc:creator>Apache POI</dc:creator>
  <cp:lastModifiedBy>T'SIR</cp:lastModifiedBy>
  <dcterms:modified xsi:type="dcterms:W3CDTF">2026-09-23T04:00:23Z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{"Label":"1","ContentProducer":"001191110102MACQD9K64010000","ProduceID":"7687191654759943151","ReservedCode1":"","ContentPropagator":"","PropagateID":"","ReservedCode2":""}</vt:lpwstr>
  </property>
  <property fmtid="{D5CDD505-2E9C-101B-9397-08002B2CF9AE}" pid="3" name="KSOProductBuildVer">
    <vt:lpwstr>2052-12.1.0.28505</vt:lpwstr>
  </property>
  <property fmtid="{D5CDD505-2E9C-101B-9397-08002B2CF9AE}" pid="4" name="ICV">
    <vt:lpwstr>DC66E34DC5434985BD8E5F9B77FE530E_13</vt:lpwstr>
  </property>
  <property fmtid="{D5CDD505-2E9C-101B-9397-08002B2CF9AE}" pid="5" name="KSOTemplateDocerSaveRecord">
    <vt:lpwstr>eyJoZGlkIjoiMGU1MTBhMzZiYWI5ZTk4YmFjNmVjY2E2YjE2MDhkY2MiLCJ1c2VySWQiOiI3Njc2MTE1MTIifQ==</vt:lpwstr>
  </property>
</Properties>
</file>